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3D" w:rsidRPr="00802259" w:rsidRDefault="0091363D">
      <w:pPr>
        <w:pStyle w:val="Title"/>
        <w:rPr>
          <w:sz w:val="28"/>
          <w:szCs w:val="28"/>
        </w:rPr>
      </w:pPr>
      <w:bookmarkStart w:id="0" w:name="_GoBack"/>
      <w:bookmarkEnd w:id="0"/>
      <w:r w:rsidRPr="00802259">
        <w:rPr>
          <w:sz w:val="28"/>
          <w:szCs w:val="28"/>
        </w:rPr>
        <w:t>PROVISIONS OF THE CODE OF FAIR CAMPAIGN PRACTICES</w:t>
      </w:r>
    </w:p>
    <w:p w:rsidR="0091363D" w:rsidRPr="00802259" w:rsidRDefault="00802259">
      <w:pPr>
        <w:pStyle w:val="Title"/>
        <w:rPr>
          <w:sz w:val="20"/>
        </w:rPr>
      </w:pPr>
      <w:r w:rsidRPr="00802259">
        <w:rPr>
          <w:sz w:val="20"/>
        </w:rPr>
        <w:t>(Division 20, Chapter 5, Elections Code)</w:t>
      </w:r>
    </w:p>
    <w:p w:rsidR="0091363D" w:rsidRDefault="0091363D">
      <w:pPr>
        <w:pStyle w:val="Title"/>
        <w:rPr>
          <w:b w:val="0"/>
          <w:sz w:val="22"/>
        </w:rPr>
      </w:pPr>
    </w:p>
    <w:p w:rsidR="00802259" w:rsidRDefault="00802259">
      <w:pPr>
        <w:pStyle w:val="Title"/>
        <w:rPr>
          <w:b w:val="0"/>
          <w:sz w:val="22"/>
        </w:rPr>
      </w:pPr>
    </w:p>
    <w:p w:rsidR="0091363D" w:rsidRDefault="0091363D">
      <w:pPr>
        <w:pStyle w:val="Title"/>
        <w:rPr>
          <w:sz w:val="22"/>
          <w:szCs w:val="22"/>
        </w:rPr>
      </w:pPr>
      <w:r w:rsidRPr="003E56F5">
        <w:rPr>
          <w:sz w:val="22"/>
          <w:szCs w:val="22"/>
        </w:rPr>
        <w:t>Chapter 5.  Fair Campaign Practices</w:t>
      </w:r>
    </w:p>
    <w:p w:rsidR="007C72F5" w:rsidRPr="003E56F5" w:rsidRDefault="007C72F5">
      <w:pPr>
        <w:pStyle w:val="Title"/>
        <w:rPr>
          <w:sz w:val="22"/>
          <w:szCs w:val="22"/>
        </w:rPr>
      </w:pPr>
    </w:p>
    <w:p w:rsidR="0091363D" w:rsidRPr="003E56F5" w:rsidRDefault="0091363D">
      <w:pPr>
        <w:pStyle w:val="Title"/>
        <w:rPr>
          <w:sz w:val="22"/>
          <w:szCs w:val="22"/>
        </w:rPr>
      </w:pPr>
      <w:r w:rsidRPr="003E56F5">
        <w:rPr>
          <w:sz w:val="22"/>
          <w:szCs w:val="22"/>
        </w:rPr>
        <w:t>Article 1.  General Intent</w:t>
      </w:r>
    </w:p>
    <w:p w:rsidR="0091363D" w:rsidRDefault="0091363D">
      <w:pPr>
        <w:pStyle w:val="Title"/>
        <w:rPr>
          <w:b w:val="0"/>
          <w:sz w:val="20"/>
        </w:rPr>
      </w:pPr>
    </w:p>
    <w:p w:rsidR="0091363D" w:rsidRDefault="0091363D">
      <w:pPr>
        <w:pStyle w:val="Title"/>
        <w:jc w:val="both"/>
        <w:rPr>
          <w:b w:val="0"/>
          <w:sz w:val="22"/>
          <w:szCs w:val="22"/>
        </w:rPr>
      </w:pPr>
      <w:r w:rsidRPr="003E56F5">
        <w:rPr>
          <w:b w:val="0"/>
          <w:sz w:val="22"/>
          <w:szCs w:val="22"/>
        </w:rPr>
        <w:t>20400.  The Legislature declares that the purpose of this chapter is to encourage every candidate for public office in this state to subscribe to the Code of Fair Campaign Practices.</w:t>
      </w:r>
    </w:p>
    <w:p w:rsidR="00802259" w:rsidRPr="003E56F5" w:rsidRDefault="00802259">
      <w:pPr>
        <w:pStyle w:val="Title"/>
        <w:jc w:val="both"/>
        <w:rPr>
          <w:b w:val="0"/>
          <w:sz w:val="22"/>
          <w:szCs w:val="22"/>
        </w:rPr>
      </w:pPr>
    </w:p>
    <w:p w:rsidR="0091363D" w:rsidRDefault="0091363D">
      <w:pPr>
        <w:pStyle w:val="Title"/>
        <w:jc w:val="both"/>
        <w:rPr>
          <w:b w:val="0"/>
          <w:sz w:val="22"/>
          <w:szCs w:val="22"/>
        </w:rPr>
      </w:pPr>
      <w:r w:rsidRPr="003E56F5">
        <w:rPr>
          <w:b w:val="0"/>
          <w:sz w:val="22"/>
          <w:szCs w:val="22"/>
        </w:rPr>
        <w:tab/>
      </w:r>
      <w:proofErr w:type="gramStart"/>
      <w:r w:rsidRPr="003E56F5">
        <w:rPr>
          <w:b w:val="0"/>
          <w:sz w:val="22"/>
          <w:szCs w:val="22"/>
        </w:rPr>
        <w:t>It is the ultimate intent of the Legislature that every candidate for public office in this state who subscribes to the Code of Fair Campaign Practices will follow the basic principles of decency, honesty, and fair play in order that, after vigorously contested</w:t>
      </w:r>
      <w:r w:rsidR="007756FD">
        <w:rPr>
          <w:b w:val="0"/>
          <w:sz w:val="22"/>
          <w:szCs w:val="22"/>
        </w:rPr>
        <w:t>,</w:t>
      </w:r>
      <w:r w:rsidRPr="003E56F5">
        <w:rPr>
          <w:b w:val="0"/>
          <w:sz w:val="22"/>
          <w:szCs w:val="22"/>
        </w:rPr>
        <w:t xml:space="preserve"> but fairly conducted campaigns, the citizens of this state may exercise their constitutional right to vote, free from dishonest and unethical practices which tend to prevent the full and free expression of the will of the voters.</w:t>
      </w:r>
      <w:proofErr w:type="gramEnd"/>
    </w:p>
    <w:p w:rsidR="00802259" w:rsidRPr="003E56F5" w:rsidRDefault="00802259">
      <w:pPr>
        <w:pStyle w:val="Title"/>
        <w:jc w:val="both"/>
        <w:rPr>
          <w:b w:val="0"/>
          <w:sz w:val="22"/>
          <w:szCs w:val="22"/>
        </w:rPr>
      </w:pPr>
    </w:p>
    <w:p w:rsidR="0091363D" w:rsidRPr="003E56F5" w:rsidRDefault="0091363D">
      <w:pPr>
        <w:pStyle w:val="Title"/>
        <w:jc w:val="both"/>
        <w:rPr>
          <w:b w:val="0"/>
          <w:sz w:val="22"/>
          <w:szCs w:val="22"/>
        </w:rPr>
      </w:pPr>
      <w:r w:rsidRPr="003E56F5">
        <w:rPr>
          <w:b w:val="0"/>
          <w:sz w:val="22"/>
          <w:szCs w:val="22"/>
        </w:rPr>
        <w:tab/>
        <w:t>The purpose in creating the Code of Fair Campaign Practices is to give voters guidelines in determining fair play and to encourage candidates to discuss issues instead of untruths or distortions.</w:t>
      </w:r>
    </w:p>
    <w:p w:rsidR="0091363D" w:rsidRPr="003E56F5" w:rsidRDefault="0091363D">
      <w:pPr>
        <w:pStyle w:val="Title"/>
        <w:jc w:val="both"/>
        <w:rPr>
          <w:b w:val="0"/>
          <w:sz w:val="22"/>
          <w:szCs w:val="22"/>
        </w:rPr>
      </w:pPr>
    </w:p>
    <w:p w:rsidR="0091363D" w:rsidRPr="003E56F5" w:rsidRDefault="0091363D">
      <w:pPr>
        <w:pStyle w:val="Title"/>
        <w:rPr>
          <w:sz w:val="22"/>
          <w:szCs w:val="22"/>
          <w:vertAlign w:val="superscript"/>
        </w:rPr>
      </w:pPr>
      <w:r w:rsidRPr="003E56F5">
        <w:rPr>
          <w:sz w:val="22"/>
          <w:szCs w:val="22"/>
        </w:rPr>
        <w:t>Article 2.  Definitions</w:t>
      </w:r>
    </w:p>
    <w:p w:rsidR="0091363D" w:rsidRPr="003E56F5" w:rsidRDefault="0091363D">
      <w:pPr>
        <w:pStyle w:val="Title"/>
        <w:jc w:val="both"/>
        <w:rPr>
          <w:b w:val="0"/>
          <w:sz w:val="22"/>
          <w:szCs w:val="22"/>
          <w:vertAlign w:val="superscript"/>
        </w:rPr>
      </w:pPr>
    </w:p>
    <w:p w:rsidR="0091363D" w:rsidRPr="003E56F5" w:rsidRDefault="00B104F5">
      <w:pPr>
        <w:pStyle w:val="Title"/>
        <w:jc w:val="both"/>
        <w:rPr>
          <w:b w:val="0"/>
          <w:sz w:val="22"/>
          <w:szCs w:val="22"/>
        </w:rPr>
      </w:pPr>
      <w:r w:rsidRPr="003E56F5">
        <w:rPr>
          <w:b w:val="0"/>
          <w:sz w:val="22"/>
          <w:szCs w:val="22"/>
        </w:rPr>
        <w:t xml:space="preserve">20420.   </w:t>
      </w:r>
      <w:r w:rsidR="0091363D" w:rsidRPr="003E56F5">
        <w:rPr>
          <w:b w:val="0"/>
          <w:sz w:val="22"/>
          <w:szCs w:val="22"/>
        </w:rPr>
        <w:t>As used in this chapter, “Code” means the Code of Fair Campaign Practices.</w:t>
      </w:r>
    </w:p>
    <w:p w:rsidR="0091363D" w:rsidRPr="003E56F5" w:rsidRDefault="0091363D">
      <w:pPr>
        <w:pStyle w:val="Title"/>
        <w:jc w:val="both"/>
        <w:rPr>
          <w:b w:val="0"/>
          <w:sz w:val="22"/>
          <w:szCs w:val="22"/>
        </w:rPr>
      </w:pPr>
    </w:p>
    <w:p w:rsidR="0091363D" w:rsidRPr="003E56F5" w:rsidRDefault="0091363D">
      <w:pPr>
        <w:pStyle w:val="Title"/>
        <w:rPr>
          <w:sz w:val="22"/>
          <w:szCs w:val="22"/>
        </w:rPr>
      </w:pPr>
      <w:r w:rsidRPr="003E56F5">
        <w:rPr>
          <w:sz w:val="22"/>
          <w:szCs w:val="22"/>
        </w:rPr>
        <w:t>Article 3.  Code of Fair Campaign Practices</w:t>
      </w:r>
    </w:p>
    <w:p w:rsidR="0091363D" w:rsidRPr="003E56F5" w:rsidRDefault="0091363D">
      <w:pPr>
        <w:pStyle w:val="Title"/>
        <w:jc w:val="both"/>
        <w:rPr>
          <w:b w:val="0"/>
          <w:sz w:val="22"/>
          <w:szCs w:val="22"/>
        </w:rPr>
      </w:pPr>
    </w:p>
    <w:p w:rsidR="0091363D" w:rsidRDefault="0091363D">
      <w:pPr>
        <w:pStyle w:val="Title"/>
        <w:jc w:val="both"/>
        <w:rPr>
          <w:b w:val="0"/>
          <w:sz w:val="22"/>
          <w:szCs w:val="22"/>
        </w:rPr>
      </w:pPr>
      <w:proofErr w:type="gramStart"/>
      <w:r w:rsidRPr="003E56F5">
        <w:rPr>
          <w:b w:val="0"/>
          <w:sz w:val="22"/>
          <w:szCs w:val="22"/>
        </w:rPr>
        <w:t>20440.  At the time</w:t>
      </w:r>
      <w:proofErr w:type="gramEnd"/>
      <w:r w:rsidRPr="003E56F5">
        <w:rPr>
          <w:b w:val="0"/>
          <w:sz w:val="22"/>
          <w:szCs w:val="22"/>
        </w:rPr>
        <w:t xml:space="preserve"> an individual is issued his or her declaration of candidacy, nomination papers, or any other paper evidencing an intention to be a candidate for public office, the elections official, shall give the individual a blank form of the Code and a copy of this chapter.  The elections official shall inform each candidate for public office that subscription to the code is voluntary.  </w:t>
      </w:r>
    </w:p>
    <w:p w:rsidR="00802259" w:rsidRPr="003E56F5" w:rsidRDefault="00802259">
      <w:pPr>
        <w:pStyle w:val="Title"/>
        <w:jc w:val="both"/>
        <w:rPr>
          <w:b w:val="0"/>
          <w:sz w:val="22"/>
          <w:szCs w:val="22"/>
        </w:rPr>
      </w:pPr>
    </w:p>
    <w:p w:rsidR="0091363D" w:rsidRDefault="0091363D">
      <w:pPr>
        <w:pStyle w:val="Title"/>
        <w:jc w:val="both"/>
        <w:rPr>
          <w:b w:val="0"/>
          <w:sz w:val="22"/>
          <w:szCs w:val="22"/>
        </w:rPr>
      </w:pPr>
      <w:r w:rsidRPr="003E56F5">
        <w:rPr>
          <w:b w:val="0"/>
          <w:sz w:val="22"/>
          <w:szCs w:val="22"/>
        </w:rPr>
        <w:tab/>
        <w:t>In the case of a committee making an independent expenditure</w:t>
      </w:r>
      <w:r w:rsidR="007756FD">
        <w:rPr>
          <w:b w:val="0"/>
          <w:sz w:val="22"/>
          <w:szCs w:val="22"/>
        </w:rPr>
        <w:t>,</w:t>
      </w:r>
      <w:r w:rsidRPr="003E56F5">
        <w:rPr>
          <w:b w:val="0"/>
          <w:sz w:val="22"/>
          <w:szCs w:val="22"/>
        </w:rPr>
        <w:t xml:space="preserve"> as defined in Section 82031 of the Government Code, the Secretary of State shall provide a blank form and a copy of this chapter to the individual filing, in accordance with Title 9 (commencing with Section 81000) of the Government Code, an initial campaign statement on behalf of the committee.</w:t>
      </w:r>
    </w:p>
    <w:p w:rsidR="007756FD" w:rsidRPr="003E56F5" w:rsidRDefault="007756FD">
      <w:pPr>
        <w:pStyle w:val="Title"/>
        <w:jc w:val="both"/>
        <w:rPr>
          <w:b w:val="0"/>
          <w:sz w:val="22"/>
          <w:szCs w:val="22"/>
        </w:rPr>
      </w:pPr>
    </w:p>
    <w:p w:rsidR="0091363D" w:rsidRPr="003E56F5" w:rsidRDefault="0091363D">
      <w:pPr>
        <w:pStyle w:val="Title"/>
        <w:jc w:val="both"/>
        <w:rPr>
          <w:sz w:val="22"/>
          <w:szCs w:val="22"/>
        </w:rPr>
      </w:pPr>
      <w:r w:rsidRPr="003E56F5">
        <w:rPr>
          <w:b w:val="0"/>
          <w:sz w:val="22"/>
          <w:szCs w:val="22"/>
        </w:rPr>
        <w:tab/>
        <w:t xml:space="preserve">The text of the code shall read, as follows: </w:t>
      </w:r>
      <w:r w:rsidRPr="003E56F5">
        <w:rPr>
          <w:sz w:val="22"/>
          <w:szCs w:val="22"/>
        </w:rPr>
        <w:t xml:space="preserve">(see </w:t>
      </w:r>
      <w:r w:rsidR="007C72F5">
        <w:rPr>
          <w:sz w:val="22"/>
          <w:szCs w:val="22"/>
        </w:rPr>
        <w:t xml:space="preserve">“CODE OF FAIR CAMPAIGN PRACTICES” on </w:t>
      </w:r>
      <w:r w:rsidRPr="003E56F5">
        <w:rPr>
          <w:sz w:val="22"/>
          <w:szCs w:val="22"/>
        </w:rPr>
        <w:t>reverse</w:t>
      </w:r>
      <w:r w:rsidR="007C72F5">
        <w:rPr>
          <w:sz w:val="22"/>
          <w:szCs w:val="22"/>
        </w:rPr>
        <w:t xml:space="preserve"> side</w:t>
      </w:r>
      <w:r w:rsidRPr="003E56F5">
        <w:rPr>
          <w:sz w:val="22"/>
          <w:szCs w:val="22"/>
        </w:rPr>
        <w:t>)</w:t>
      </w:r>
    </w:p>
    <w:p w:rsidR="0091363D" w:rsidRPr="003E56F5" w:rsidRDefault="0091363D">
      <w:pPr>
        <w:pStyle w:val="Title"/>
        <w:jc w:val="both"/>
        <w:rPr>
          <w:b w:val="0"/>
          <w:sz w:val="22"/>
          <w:szCs w:val="22"/>
        </w:rPr>
      </w:pPr>
    </w:p>
    <w:p w:rsidR="0091363D" w:rsidRPr="003E56F5" w:rsidRDefault="0091363D">
      <w:pPr>
        <w:pStyle w:val="Title"/>
        <w:jc w:val="both"/>
        <w:rPr>
          <w:b w:val="0"/>
          <w:sz w:val="22"/>
          <w:szCs w:val="22"/>
        </w:rPr>
      </w:pPr>
      <w:r w:rsidRPr="003E56F5">
        <w:rPr>
          <w:b w:val="0"/>
          <w:sz w:val="22"/>
          <w:szCs w:val="22"/>
        </w:rPr>
        <w:t>20442.  The elections official shall accept, at all times prior to the election, all completed forms that are properly subscribed to by a candidate for public office and shall retain them for public inspection until 30 days after the election.</w:t>
      </w:r>
    </w:p>
    <w:p w:rsidR="0091363D" w:rsidRPr="003E56F5" w:rsidRDefault="0091363D">
      <w:pPr>
        <w:pStyle w:val="Title"/>
        <w:jc w:val="both"/>
        <w:rPr>
          <w:b w:val="0"/>
          <w:sz w:val="22"/>
          <w:szCs w:val="22"/>
        </w:rPr>
      </w:pPr>
    </w:p>
    <w:p w:rsidR="0091363D" w:rsidRPr="003E56F5" w:rsidRDefault="0091363D">
      <w:pPr>
        <w:pStyle w:val="Title"/>
        <w:jc w:val="both"/>
        <w:rPr>
          <w:b w:val="0"/>
          <w:sz w:val="22"/>
          <w:szCs w:val="22"/>
        </w:rPr>
      </w:pPr>
      <w:r w:rsidRPr="003E56F5">
        <w:rPr>
          <w:b w:val="0"/>
          <w:sz w:val="22"/>
          <w:szCs w:val="22"/>
        </w:rPr>
        <w:t>20443.  Every code subscribed to by a candidate for public office pursuant to this chapter is a public record open for public inspection.</w:t>
      </w:r>
    </w:p>
    <w:p w:rsidR="0091363D" w:rsidRPr="003E56F5" w:rsidRDefault="0091363D">
      <w:pPr>
        <w:pStyle w:val="Title"/>
        <w:jc w:val="both"/>
        <w:rPr>
          <w:b w:val="0"/>
          <w:sz w:val="22"/>
          <w:szCs w:val="22"/>
        </w:rPr>
      </w:pPr>
    </w:p>
    <w:p w:rsidR="0091363D" w:rsidRPr="003E56F5" w:rsidRDefault="0091363D">
      <w:pPr>
        <w:pStyle w:val="Title"/>
        <w:jc w:val="both"/>
        <w:rPr>
          <w:b w:val="0"/>
          <w:sz w:val="22"/>
          <w:szCs w:val="22"/>
        </w:rPr>
      </w:pPr>
      <w:r w:rsidRPr="003E56F5">
        <w:rPr>
          <w:b w:val="0"/>
          <w:sz w:val="22"/>
          <w:szCs w:val="22"/>
        </w:rPr>
        <w:t>20444.  In no event shall a candidate for public office be required to subscribe to or endorse the code.</w:t>
      </w:r>
    </w:p>
    <w:p w:rsidR="0091363D" w:rsidRDefault="0091363D">
      <w:pPr>
        <w:pStyle w:val="Title"/>
        <w:jc w:val="both"/>
        <w:rPr>
          <w:b w:val="0"/>
          <w:sz w:val="22"/>
          <w:szCs w:val="22"/>
        </w:rPr>
      </w:pPr>
    </w:p>
    <w:p w:rsidR="00802259" w:rsidRPr="003E56F5" w:rsidRDefault="00802259">
      <w:pPr>
        <w:pStyle w:val="Title"/>
        <w:jc w:val="both"/>
        <w:rPr>
          <w:b w:val="0"/>
          <w:sz w:val="22"/>
          <w:szCs w:val="22"/>
        </w:rPr>
      </w:pPr>
    </w:p>
    <w:p w:rsidR="0091363D" w:rsidRPr="00802259" w:rsidRDefault="00802259">
      <w:pPr>
        <w:pStyle w:val="Title"/>
        <w:rPr>
          <w:b w:val="0"/>
          <w:i/>
          <w:sz w:val="22"/>
          <w:szCs w:val="22"/>
        </w:rPr>
      </w:pPr>
      <w:r w:rsidRPr="00802259">
        <w:rPr>
          <w:b w:val="0"/>
          <w:i/>
          <w:sz w:val="22"/>
          <w:szCs w:val="22"/>
        </w:rPr>
        <w:t>(See Reverse Side</w:t>
      </w:r>
      <w:r w:rsidR="0091363D" w:rsidRPr="00802259">
        <w:rPr>
          <w:b w:val="0"/>
          <w:i/>
          <w:sz w:val="22"/>
          <w:szCs w:val="22"/>
        </w:rPr>
        <w:t>)</w:t>
      </w:r>
    </w:p>
    <w:p w:rsidR="0091363D" w:rsidRPr="007756FD" w:rsidRDefault="0091363D">
      <w:pPr>
        <w:pStyle w:val="Title"/>
        <w:rPr>
          <w:sz w:val="36"/>
          <w:szCs w:val="36"/>
        </w:rPr>
      </w:pPr>
      <w:r>
        <w:rPr>
          <w:sz w:val="20"/>
        </w:rPr>
        <w:br w:type="page"/>
      </w:r>
      <w:r w:rsidRPr="007756FD">
        <w:rPr>
          <w:sz w:val="36"/>
          <w:szCs w:val="36"/>
        </w:rPr>
        <w:lastRenderedPageBreak/>
        <w:t>CODE OF FAIR CAMPAIGN PRACTICES</w:t>
      </w:r>
    </w:p>
    <w:p w:rsidR="0091363D" w:rsidRDefault="0091363D"/>
    <w:p w:rsidR="0091363D" w:rsidRDefault="0091363D">
      <w:pPr>
        <w:jc w:val="both"/>
        <w:rPr>
          <w:sz w:val="22"/>
        </w:rPr>
      </w:pPr>
      <w:r>
        <w:tab/>
      </w:r>
      <w:proofErr w:type="gramStart"/>
      <w:r>
        <w:rPr>
          <w:sz w:val="22"/>
        </w:rPr>
        <w:t>There are basic principles of decency, honesty, and fair play which every candidate for public office in the State of California has a moral obligation to observe and uphold, in order that, after vigorously contested but fairly conducted campaigns, our citizens may exercise their constitutional right to a free and untrammeled choice and the will of the people may be fully and clearly expressed on the issues.</w:t>
      </w:r>
      <w:proofErr w:type="gramEnd"/>
    </w:p>
    <w:p w:rsidR="0091363D" w:rsidRDefault="0091363D">
      <w:pPr>
        <w:jc w:val="both"/>
        <w:rPr>
          <w:sz w:val="22"/>
        </w:rPr>
      </w:pPr>
    </w:p>
    <w:p w:rsidR="0091363D" w:rsidRPr="00802259" w:rsidRDefault="0091363D" w:rsidP="00802259">
      <w:pPr>
        <w:ind w:firstLine="420"/>
        <w:jc w:val="both"/>
        <w:rPr>
          <w:b/>
          <w:sz w:val="22"/>
        </w:rPr>
      </w:pPr>
      <w:r w:rsidRPr="00802259">
        <w:rPr>
          <w:b/>
          <w:sz w:val="22"/>
        </w:rPr>
        <w:t>THEREFORE:</w:t>
      </w:r>
    </w:p>
    <w:p w:rsidR="0091363D" w:rsidRDefault="0091363D">
      <w:pPr>
        <w:jc w:val="both"/>
        <w:rPr>
          <w:sz w:val="22"/>
        </w:rPr>
      </w:pPr>
    </w:p>
    <w:p w:rsidR="0091363D" w:rsidRDefault="0091363D" w:rsidP="00802259">
      <w:pPr>
        <w:numPr>
          <w:ilvl w:val="0"/>
          <w:numId w:val="1"/>
        </w:numPr>
        <w:tabs>
          <w:tab w:val="clear" w:pos="420"/>
          <w:tab w:val="num" w:pos="840"/>
        </w:tabs>
        <w:ind w:left="840"/>
        <w:jc w:val="both"/>
        <w:rPr>
          <w:sz w:val="22"/>
        </w:rPr>
      </w:pPr>
      <w:r w:rsidRPr="00802259">
        <w:rPr>
          <w:b/>
          <w:sz w:val="22"/>
        </w:rPr>
        <w:t>I SHALL CONDUCT</w:t>
      </w:r>
      <w:r>
        <w:rPr>
          <w:sz w:val="22"/>
        </w:rPr>
        <w:t xml:space="preserve"> my campaign openly and publicly, discussing the issues as I see them, presenting my record and policies with sincerity and frankness, and criticizing without fear or favor the record and policies of my opponents or political parties which merit such criticism.</w:t>
      </w:r>
    </w:p>
    <w:p w:rsidR="0091363D" w:rsidRDefault="0091363D">
      <w:pPr>
        <w:jc w:val="both"/>
        <w:rPr>
          <w:sz w:val="22"/>
        </w:rPr>
      </w:pPr>
    </w:p>
    <w:p w:rsidR="0091363D" w:rsidRDefault="0091363D" w:rsidP="00802259">
      <w:pPr>
        <w:numPr>
          <w:ilvl w:val="0"/>
          <w:numId w:val="1"/>
        </w:numPr>
        <w:tabs>
          <w:tab w:val="clear" w:pos="420"/>
          <w:tab w:val="num" w:pos="840"/>
        </w:tabs>
        <w:ind w:left="840"/>
        <w:jc w:val="both"/>
        <w:rPr>
          <w:sz w:val="22"/>
        </w:rPr>
      </w:pPr>
      <w:r w:rsidRPr="00802259">
        <w:rPr>
          <w:b/>
          <w:sz w:val="22"/>
        </w:rPr>
        <w:t>I SHALL NOT USE OR PERMIT</w:t>
      </w:r>
      <w:r>
        <w:rPr>
          <w:sz w:val="22"/>
        </w:rPr>
        <w:t xml:space="preserve"> the use of character defamation, whispering campaigns, libel, slander, or scurrilous attacks on any candidate or his or her personal or family life.</w:t>
      </w:r>
    </w:p>
    <w:p w:rsidR="0091363D" w:rsidRDefault="0091363D">
      <w:pPr>
        <w:jc w:val="both"/>
        <w:rPr>
          <w:sz w:val="22"/>
        </w:rPr>
      </w:pPr>
    </w:p>
    <w:p w:rsidR="0091363D" w:rsidRDefault="0091363D" w:rsidP="00802259">
      <w:pPr>
        <w:numPr>
          <w:ilvl w:val="0"/>
          <w:numId w:val="1"/>
        </w:numPr>
        <w:tabs>
          <w:tab w:val="clear" w:pos="420"/>
          <w:tab w:val="num" w:pos="840"/>
        </w:tabs>
        <w:ind w:left="840"/>
        <w:jc w:val="both"/>
        <w:rPr>
          <w:sz w:val="22"/>
        </w:rPr>
      </w:pPr>
      <w:proofErr w:type="gramStart"/>
      <w:r w:rsidRPr="00802259">
        <w:rPr>
          <w:b/>
          <w:sz w:val="22"/>
        </w:rPr>
        <w:t>I SHALL NOT USE OR PERMIT</w:t>
      </w:r>
      <w:r>
        <w:rPr>
          <w:sz w:val="22"/>
        </w:rPr>
        <w:t xml:space="preserve"> any appeal to negative prejudice based on </w:t>
      </w:r>
      <w:r w:rsidR="00B104F5">
        <w:rPr>
          <w:sz w:val="22"/>
        </w:rPr>
        <w:t>a candidate’s actual or perceived race, religious creed, color, national origin, ancestry, physical disability, mental disability, medical condition, marital status, age, sexual orientation, sex, including gender identity, or any other characteristic set forth in Section 12940 of the Government Code, or association with another person who has any of the actual or perceived characteristics set forth in Section 12940 of the Government Code.</w:t>
      </w:r>
      <w:proofErr w:type="gramEnd"/>
    </w:p>
    <w:p w:rsidR="0091363D" w:rsidRDefault="0091363D">
      <w:pPr>
        <w:jc w:val="both"/>
        <w:rPr>
          <w:sz w:val="22"/>
        </w:rPr>
      </w:pPr>
    </w:p>
    <w:p w:rsidR="0091363D" w:rsidRDefault="0091363D" w:rsidP="00802259">
      <w:pPr>
        <w:numPr>
          <w:ilvl w:val="0"/>
          <w:numId w:val="1"/>
        </w:numPr>
        <w:tabs>
          <w:tab w:val="clear" w:pos="420"/>
          <w:tab w:val="num" w:pos="840"/>
        </w:tabs>
        <w:ind w:left="840"/>
        <w:jc w:val="both"/>
        <w:rPr>
          <w:sz w:val="22"/>
        </w:rPr>
      </w:pPr>
      <w:r w:rsidRPr="00802259">
        <w:rPr>
          <w:b/>
          <w:sz w:val="22"/>
        </w:rPr>
        <w:t>I SHALL NOT USE OR PERMIT</w:t>
      </w:r>
      <w:r>
        <w:rPr>
          <w:sz w:val="22"/>
        </w:rPr>
        <w:t xml:space="preserve"> any dishonest or unethical practice which tends to corrupt or undermine our American system of free elections, or </w:t>
      </w:r>
      <w:r w:rsidR="00B104F5">
        <w:rPr>
          <w:sz w:val="22"/>
        </w:rPr>
        <w:t>that</w:t>
      </w:r>
      <w:r>
        <w:rPr>
          <w:sz w:val="22"/>
        </w:rPr>
        <w:t xml:space="preserve"> hampers or prevents the full and free expression of the will of the voters including acts intended to hinder or prevent any eligible person from registering to vote, enrolling to vote, or voting.</w:t>
      </w:r>
    </w:p>
    <w:p w:rsidR="0091363D" w:rsidRDefault="0091363D">
      <w:pPr>
        <w:jc w:val="both"/>
        <w:rPr>
          <w:sz w:val="22"/>
        </w:rPr>
      </w:pPr>
    </w:p>
    <w:p w:rsidR="0091363D" w:rsidRDefault="0091363D" w:rsidP="00802259">
      <w:pPr>
        <w:numPr>
          <w:ilvl w:val="0"/>
          <w:numId w:val="1"/>
        </w:numPr>
        <w:tabs>
          <w:tab w:val="clear" w:pos="420"/>
          <w:tab w:val="num" w:pos="840"/>
        </w:tabs>
        <w:ind w:left="840"/>
        <w:jc w:val="both"/>
        <w:rPr>
          <w:sz w:val="22"/>
        </w:rPr>
      </w:pPr>
      <w:r w:rsidRPr="00802259">
        <w:rPr>
          <w:b/>
          <w:sz w:val="22"/>
        </w:rPr>
        <w:t>I SHALL NOT</w:t>
      </w:r>
      <w:r>
        <w:rPr>
          <w:sz w:val="22"/>
        </w:rPr>
        <w:t xml:space="preserve"> coerce election help or campaign contributions for myself or for any other candidate from my employees.</w:t>
      </w:r>
    </w:p>
    <w:p w:rsidR="0091363D" w:rsidRDefault="0091363D">
      <w:pPr>
        <w:jc w:val="both"/>
        <w:rPr>
          <w:sz w:val="22"/>
        </w:rPr>
      </w:pPr>
    </w:p>
    <w:p w:rsidR="0091363D" w:rsidRDefault="0091363D" w:rsidP="00802259">
      <w:pPr>
        <w:numPr>
          <w:ilvl w:val="0"/>
          <w:numId w:val="1"/>
        </w:numPr>
        <w:tabs>
          <w:tab w:val="clear" w:pos="420"/>
          <w:tab w:val="num" w:pos="840"/>
        </w:tabs>
        <w:ind w:left="840"/>
        <w:jc w:val="both"/>
        <w:rPr>
          <w:sz w:val="22"/>
        </w:rPr>
      </w:pPr>
      <w:r w:rsidRPr="00802259">
        <w:rPr>
          <w:b/>
          <w:sz w:val="22"/>
        </w:rPr>
        <w:t>I SHALL IMMEDIATELY AND PUBLICLY REPUDIATE</w:t>
      </w:r>
      <w:r>
        <w:rPr>
          <w:sz w:val="22"/>
        </w:rPr>
        <w:t xml:space="preserve"> support deriving from any individual or group which resorts, on behalf of my candidacy or in opposition to that of my opponent, to the methods and </w:t>
      </w:r>
      <w:proofErr w:type="gramStart"/>
      <w:r>
        <w:rPr>
          <w:sz w:val="22"/>
        </w:rPr>
        <w:t>tactics which</w:t>
      </w:r>
      <w:proofErr w:type="gramEnd"/>
      <w:r>
        <w:rPr>
          <w:sz w:val="22"/>
        </w:rPr>
        <w:t xml:space="preserve"> I condemn.  I shall accept responsibility to take firm action against any subordinate who violates any provision of this code or the laws governing elections.</w:t>
      </w:r>
    </w:p>
    <w:p w:rsidR="0091363D" w:rsidRDefault="0091363D">
      <w:pPr>
        <w:jc w:val="both"/>
        <w:rPr>
          <w:sz w:val="22"/>
        </w:rPr>
      </w:pPr>
    </w:p>
    <w:p w:rsidR="0091363D" w:rsidRDefault="0091363D" w:rsidP="00802259">
      <w:pPr>
        <w:numPr>
          <w:ilvl w:val="0"/>
          <w:numId w:val="1"/>
        </w:numPr>
        <w:tabs>
          <w:tab w:val="clear" w:pos="420"/>
          <w:tab w:val="num" w:pos="840"/>
        </w:tabs>
        <w:ind w:left="840"/>
        <w:jc w:val="both"/>
        <w:rPr>
          <w:sz w:val="22"/>
        </w:rPr>
      </w:pPr>
      <w:r w:rsidRPr="00802259">
        <w:rPr>
          <w:b/>
          <w:sz w:val="22"/>
        </w:rPr>
        <w:t>I SHALL DEFEND AND UPHOLD</w:t>
      </w:r>
      <w:r>
        <w:rPr>
          <w:sz w:val="22"/>
        </w:rPr>
        <w:t xml:space="preserve"> the right of every qualified American voter to full and equal participation in the electoral process.</w:t>
      </w:r>
    </w:p>
    <w:p w:rsidR="0091363D" w:rsidRDefault="0091363D">
      <w:pPr>
        <w:jc w:val="both"/>
        <w:rPr>
          <w:sz w:val="22"/>
        </w:rPr>
      </w:pPr>
    </w:p>
    <w:p w:rsidR="0091363D" w:rsidRDefault="0091363D">
      <w:pPr>
        <w:pStyle w:val="BodyTextIndent"/>
      </w:pPr>
      <w:r>
        <w:t>I, the undersigned, candidate for election to public office in the State of California or treasurer or chairperson of a committee making any independent expenditures, hereby voluntarily endorse, subscribe to, and solemnly pledge myself to conduct my campaign in accordance with the above principles and practices.</w:t>
      </w:r>
    </w:p>
    <w:p w:rsidR="0091363D" w:rsidRDefault="0091363D">
      <w:pPr>
        <w:jc w:val="both"/>
        <w:rPr>
          <w:sz w:val="22"/>
        </w:rPr>
      </w:pPr>
    </w:p>
    <w:p w:rsidR="0091363D" w:rsidRDefault="0091363D">
      <w:pPr>
        <w:rPr>
          <w:sz w:val="22"/>
        </w:rPr>
      </w:pPr>
    </w:p>
    <w:p w:rsidR="0091363D" w:rsidRDefault="0091363D">
      <w:pPr>
        <w:rPr>
          <w:sz w:val="22"/>
          <w:u w:val="single"/>
        </w:rPr>
      </w:pPr>
      <w:r>
        <w:rPr>
          <w:sz w:val="22"/>
        </w:rPr>
        <w:tab/>
      </w:r>
      <w:r>
        <w:rPr>
          <w:sz w:val="22"/>
          <w:u w:val="single"/>
        </w:rPr>
        <w:tab/>
      </w:r>
      <w:r>
        <w:rPr>
          <w:sz w:val="22"/>
          <w:u w:val="single"/>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91363D" w:rsidRDefault="0091363D">
      <w:pPr>
        <w:ind w:firstLine="720"/>
        <w:rPr>
          <w:i/>
          <w:sz w:val="20"/>
        </w:rPr>
      </w:pPr>
      <w:r>
        <w:rPr>
          <w:i/>
          <w:sz w:val="20"/>
        </w:rPr>
        <w:t>(Date)</w:t>
      </w:r>
      <w:r>
        <w:rPr>
          <w:i/>
          <w:sz w:val="20"/>
        </w:rPr>
        <w:tab/>
      </w:r>
      <w:r>
        <w:rPr>
          <w:i/>
          <w:sz w:val="20"/>
        </w:rPr>
        <w:tab/>
      </w:r>
      <w:r>
        <w:rPr>
          <w:i/>
          <w:sz w:val="20"/>
        </w:rPr>
        <w:tab/>
      </w:r>
      <w:r>
        <w:rPr>
          <w:i/>
          <w:sz w:val="20"/>
        </w:rPr>
        <w:tab/>
        <w:t>(Signature of Candidate)</w:t>
      </w:r>
    </w:p>
    <w:p w:rsidR="0091363D" w:rsidRDefault="0091363D">
      <w:pPr>
        <w:rPr>
          <w:i/>
          <w:sz w:val="20"/>
        </w:rPr>
      </w:pPr>
    </w:p>
    <w:p w:rsidR="0091363D" w:rsidRDefault="0091363D">
      <w:pPr>
        <w:rPr>
          <w:i/>
        </w:rPr>
      </w:pPr>
    </w:p>
    <w:p w:rsidR="0091363D" w:rsidRDefault="0091363D">
      <w:pPr>
        <w:rPr>
          <w:i/>
          <w:u w:val="single"/>
        </w:rPr>
      </w:pPr>
      <w:r>
        <w:rPr>
          <w:i/>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rsidR="0091363D" w:rsidRDefault="0091363D">
      <w:pPr>
        <w:ind w:firstLine="720"/>
        <w:rPr>
          <w:i/>
          <w:sz w:val="20"/>
        </w:rPr>
      </w:pPr>
      <w:r>
        <w:rPr>
          <w:i/>
          <w:sz w:val="20"/>
        </w:rPr>
        <w:t>(Please Print Name, Office Sought, and Date of Election)</w:t>
      </w:r>
    </w:p>
    <w:sectPr w:rsidR="0091363D">
      <w:pgSz w:w="12240" w:h="15840" w:code="1"/>
      <w:pgMar w:top="108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3A8F"/>
    <w:multiLevelType w:val="singleLevel"/>
    <w:tmpl w:val="65EC9266"/>
    <w:lvl w:ilvl="0">
      <w:start w:val="1"/>
      <w:numFmt w:val="decimal"/>
      <w:lvlText w:val="(%1)"/>
      <w:lvlJc w:val="left"/>
      <w:pPr>
        <w:tabs>
          <w:tab w:val="num" w:pos="420"/>
        </w:tabs>
        <w:ind w:left="42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4B"/>
    <w:rsid w:val="003E56F5"/>
    <w:rsid w:val="006B1BAE"/>
    <w:rsid w:val="007756FD"/>
    <w:rsid w:val="007C72F5"/>
    <w:rsid w:val="00802259"/>
    <w:rsid w:val="008E764B"/>
    <w:rsid w:val="0091363D"/>
    <w:rsid w:val="00A2589C"/>
    <w:rsid w:val="00B1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5A580A4-18AD-4560-A323-188B3923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ESORD">
    <w:name w:val="RES/ORD"/>
    <w:basedOn w:val="Normal"/>
    <w:next w:val="Normal"/>
    <w:pPr>
      <w:tabs>
        <w:tab w:val="left" w:pos="-1440"/>
        <w:tab w:val="left" w:pos="-720"/>
        <w:tab w:val="left" w:pos="720"/>
        <w:tab w:val="left" w:pos="1260"/>
        <w:tab w:val="right" w:pos="1300"/>
        <w:tab w:val="left" w:pos="2040"/>
        <w:tab w:val="right" w:pos="7180"/>
        <w:tab w:val="left" w:pos="7440"/>
        <w:tab w:val="left" w:pos="8640"/>
        <w:tab w:val="left" w:pos="9360"/>
        <w:tab w:val="left" w:pos="10080"/>
        <w:tab w:val="left" w:pos="10800"/>
        <w:tab w:val="left" w:pos="11520"/>
      </w:tabs>
      <w:ind w:left="1440" w:right="1440"/>
      <w:jc w:val="both"/>
    </w:pPr>
  </w:style>
  <w:style w:type="paragraph" w:customStyle="1" w:styleId="RESOLUTIONORDINANCE">
    <w:name w:val="RESOLUTION/ORDINANCE"/>
    <w:basedOn w:val="BodyText"/>
    <w:next w:val="Normal"/>
    <w:pPr>
      <w:spacing w:after="0"/>
      <w:ind w:left="1440" w:right="1440"/>
      <w:jc w:val="both"/>
    </w:pPr>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spacing w:after="120"/>
    </w:pPr>
  </w:style>
  <w:style w:type="paragraph" w:customStyle="1" w:styleId="ORDRES">
    <w:name w:val="ORD/RES"/>
    <w:basedOn w:val="Normal"/>
    <w:next w:val="Normal"/>
    <w:pPr>
      <w:ind w:left="1440" w:right="1440"/>
      <w:jc w:val="both"/>
    </w:pPr>
  </w:style>
  <w:style w:type="paragraph" w:styleId="Title">
    <w:name w:val="Title"/>
    <w:basedOn w:val="Normal"/>
    <w:qFormat/>
    <w:pPr>
      <w:jc w:val="center"/>
    </w:pPr>
    <w:rPr>
      <w:b/>
    </w:rPr>
  </w:style>
  <w:style w:type="paragraph" w:styleId="BodyText2">
    <w:name w:val="Body Text 2"/>
    <w:basedOn w:val="Normal"/>
    <w:pPr>
      <w:jc w:val="both"/>
    </w:pPr>
    <w:rPr>
      <w:sz w:val="22"/>
    </w:rPr>
  </w:style>
  <w:style w:type="paragraph" w:styleId="BodyTextIndent">
    <w:name w:val="Body Text Indent"/>
    <w:basedOn w:val="Normal"/>
    <w:pPr>
      <w:ind w:firstLine="420"/>
      <w:jc w:val="both"/>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CODE OF FAIR CAMPAIGN PRACTICES</vt:lpstr>
    </vt:vector>
  </TitlesOfParts>
  <Company>City of Agoura Hills</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FAIR CAMPAIGN PRACTICES</dc:title>
  <dc:subject/>
  <dc:creator>Kimberly M. Rodrigues</dc:creator>
  <cp:keywords/>
  <cp:lastModifiedBy>Kimberly Rodrigues</cp:lastModifiedBy>
  <cp:revision>2</cp:revision>
  <cp:lastPrinted>2015-07-07T02:51:00Z</cp:lastPrinted>
  <dcterms:created xsi:type="dcterms:W3CDTF">2018-07-11T01:38:00Z</dcterms:created>
  <dcterms:modified xsi:type="dcterms:W3CDTF">2018-07-11T01:38:00Z</dcterms:modified>
</cp:coreProperties>
</file>