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019B74" w14:textId="77777777" w:rsidR="005A2803" w:rsidRPr="00470B9D" w:rsidRDefault="00312D4F" w:rsidP="00CD776A">
      <w:pPr>
        <w:pStyle w:val="BodyText"/>
        <w:spacing w:before="40"/>
        <w:jc w:val="both"/>
        <w:rPr>
          <w:rFonts w:ascii="Times New Roman"/>
          <w:b/>
          <w:u w:val="single"/>
        </w:rPr>
      </w:pPr>
      <w:r w:rsidRPr="00470B9D">
        <w:rPr>
          <w:rFonts w:ascii="Times New Roman"/>
          <w:b/>
          <w:u w:val="single"/>
        </w:rPr>
        <w:t>Background:</w:t>
      </w:r>
    </w:p>
    <w:p w14:paraId="6FB56A6C" w14:textId="77777777" w:rsidR="005A2803" w:rsidRDefault="00312D4F" w:rsidP="00CD776A">
      <w:pPr>
        <w:pStyle w:val="BodyText"/>
        <w:spacing w:before="30"/>
        <w:jc w:val="both"/>
      </w:pPr>
      <w:r>
        <w:t xml:space="preserve">Most permit fees </w:t>
      </w:r>
      <w:proofErr w:type="gramStart"/>
      <w:r>
        <w:t>are determined</w:t>
      </w:r>
      <w:proofErr w:type="gramEnd"/>
      <w:r>
        <w:t xml:space="preserve"> by three methods:</w:t>
      </w:r>
    </w:p>
    <w:p w14:paraId="1DC0990D" w14:textId="77777777" w:rsidR="005A2803" w:rsidRDefault="00312D4F" w:rsidP="00CD776A">
      <w:pPr>
        <w:pStyle w:val="ListParagraph"/>
        <w:numPr>
          <w:ilvl w:val="0"/>
          <w:numId w:val="1"/>
        </w:numPr>
        <w:tabs>
          <w:tab w:val="left" w:pos="980"/>
        </w:tabs>
        <w:spacing w:before="21" w:line="259" w:lineRule="auto"/>
        <w:ind w:left="990" w:right="935" w:hanging="170"/>
        <w:jc w:val="both"/>
      </w:pPr>
      <w:r>
        <w:t>New square footage multiplied by the City’s Building Valuation table. City of LA’s valuation is also acceptable</w:t>
      </w:r>
    </w:p>
    <w:p w14:paraId="00BC5893" w14:textId="77777777" w:rsidR="005A2803" w:rsidRDefault="00312D4F" w:rsidP="00CD776A">
      <w:pPr>
        <w:pStyle w:val="ListParagraph"/>
        <w:numPr>
          <w:ilvl w:val="0"/>
          <w:numId w:val="1"/>
        </w:numPr>
        <w:tabs>
          <w:tab w:val="left" w:pos="980"/>
        </w:tabs>
        <w:ind w:left="979" w:hanging="159"/>
        <w:jc w:val="both"/>
      </w:pPr>
      <w:r>
        <w:t>Construction</w:t>
      </w:r>
      <w:r>
        <w:rPr>
          <w:spacing w:val="-2"/>
        </w:rPr>
        <w:t xml:space="preserve"> </w:t>
      </w:r>
      <w:r>
        <w:t>Valuation,</w:t>
      </w:r>
      <w:r>
        <w:rPr>
          <w:spacing w:val="-4"/>
        </w:rPr>
        <w:t xml:space="preserve"> </w:t>
      </w:r>
      <w:r>
        <w:t>or</w:t>
      </w:r>
      <w:r>
        <w:rPr>
          <w:spacing w:val="-2"/>
        </w:rPr>
        <w:t xml:space="preserve"> </w:t>
      </w:r>
      <w:r>
        <w:t>Building</w:t>
      </w:r>
      <w:r>
        <w:rPr>
          <w:spacing w:val="-2"/>
        </w:rPr>
        <w:t xml:space="preserve"> </w:t>
      </w:r>
      <w:r>
        <w:t>Permit</w:t>
      </w:r>
      <w:r>
        <w:rPr>
          <w:spacing w:val="-2"/>
        </w:rPr>
        <w:t xml:space="preserve"> </w:t>
      </w:r>
      <w:r>
        <w:t>Valuation</w:t>
      </w:r>
      <w:r w:rsidR="00470B9D">
        <w:t xml:space="preserve"> (BPV)</w:t>
      </w:r>
      <w:r>
        <w:t>,</w:t>
      </w:r>
      <w:r>
        <w:rPr>
          <w:spacing w:val="-2"/>
        </w:rPr>
        <w:t xml:space="preserve"> </w:t>
      </w:r>
      <w:r>
        <w:t>based</w:t>
      </w:r>
      <w:r>
        <w:rPr>
          <w:spacing w:val="-5"/>
        </w:rPr>
        <w:t xml:space="preserve"> </w:t>
      </w:r>
      <w:r>
        <w:t>on</w:t>
      </w:r>
      <w:r>
        <w:rPr>
          <w:spacing w:val="-2"/>
        </w:rPr>
        <w:t xml:space="preserve"> </w:t>
      </w:r>
      <w:r>
        <w:t>a</w:t>
      </w:r>
      <w:r>
        <w:rPr>
          <w:spacing w:val="-2"/>
        </w:rPr>
        <w:t xml:space="preserve"> </w:t>
      </w:r>
      <w:r>
        <w:t>contract</w:t>
      </w:r>
      <w:r>
        <w:rPr>
          <w:spacing w:val="-5"/>
        </w:rPr>
        <w:t xml:space="preserve"> </w:t>
      </w:r>
      <w:r>
        <w:t>with</w:t>
      </w:r>
      <w:r>
        <w:rPr>
          <w:spacing w:val="-5"/>
        </w:rPr>
        <w:t xml:space="preserve"> </w:t>
      </w:r>
      <w:r>
        <w:t>a</w:t>
      </w:r>
      <w:r>
        <w:rPr>
          <w:spacing w:val="-2"/>
        </w:rPr>
        <w:t xml:space="preserve"> </w:t>
      </w:r>
      <w:r>
        <w:t>licensed</w:t>
      </w:r>
      <w:r>
        <w:rPr>
          <w:spacing w:val="-4"/>
        </w:rPr>
        <w:t xml:space="preserve"> </w:t>
      </w:r>
      <w:r>
        <w:t>contractor</w:t>
      </w:r>
    </w:p>
    <w:p w14:paraId="549EB281" w14:textId="77777777" w:rsidR="005A2803" w:rsidRDefault="00312D4F" w:rsidP="00CD776A">
      <w:pPr>
        <w:pStyle w:val="ListParagraph"/>
        <w:numPr>
          <w:ilvl w:val="0"/>
          <w:numId w:val="1"/>
        </w:numPr>
        <w:tabs>
          <w:tab w:val="left" w:pos="980"/>
        </w:tabs>
        <w:spacing w:before="19"/>
        <w:ind w:left="979" w:hanging="159"/>
        <w:jc w:val="both"/>
      </w:pPr>
      <w:proofErr w:type="gramStart"/>
      <w:r>
        <w:t>Or</w:t>
      </w:r>
      <w:proofErr w:type="gramEnd"/>
      <w:r>
        <w:t xml:space="preserve"> a combination of</w:t>
      </w:r>
      <w:r>
        <w:rPr>
          <w:spacing w:val="-10"/>
        </w:rPr>
        <w:t xml:space="preserve"> </w:t>
      </w:r>
      <w:r>
        <w:t>both.</w:t>
      </w:r>
    </w:p>
    <w:p w14:paraId="6732D40E" w14:textId="77777777" w:rsidR="005A2803" w:rsidRDefault="00312D4F" w:rsidP="00CD776A">
      <w:pPr>
        <w:pStyle w:val="BodyText"/>
        <w:spacing w:before="21" w:line="259" w:lineRule="auto"/>
        <w:ind w:right="103"/>
        <w:jc w:val="both"/>
      </w:pPr>
      <w:r>
        <w:t xml:space="preserve">This guideline </w:t>
      </w:r>
      <w:proofErr w:type="gramStart"/>
      <w:r>
        <w:t>is designed</w:t>
      </w:r>
      <w:proofErr w:type="gramEnd"/>
      <w:r>
        <w:t xml:space="preserve"> to help staff explain to the customer an acceptable method for determining Building Permit Valuation, or Construction Valuation, for building projects that are not covered by one of the methods described above, or permits that are being prepared by an Owner-Builder.</w:t>
      </w:r>
    </w:p>
    <w:p w14:paraId="23FE168C" w14:textId="77777777" w:rsidR="00CF5241" w:rsidRDefault="00CF5241" w:rsidP="00CD776A">
      <w:pPr>
        <w:pStyle w:val="BodyText"/>
        <w:spacing w:before="1"/>
        <w:jc w:val="both"/>
        <w:rPr>
          <w:rFonts w:ascii="Times New Roman"/>
          <w:b/>
          <w:u w:val="single"/>
        </w:rPr>
      </w:pPr>
    </w:p>
    <w:p w14:paraId="65B3BD31" w14:textId="77777777" w:rsidR="005A2803" w:rsidRPr="00470B9D" w:rsidRDefault="00312D4F" w:rsidP="00CD776A">
      <w:pPr>
        <w:pStyle w:val="BodyText"/>
        <w:spacing w:before="1"/>
        <w:jc w:val="both"/>
        <w:rPr>
          <w:rFonts w:ascii="Times New Roman"/>
          <w:b/>
          <w:u w:val="single"/>
        </w:rPr>
      </w:pPr>
      <w:r w:rsidRPr="00470B9D">
        <w:rPr>
          <w:rFonts w:ascii="Times New Roman"/>
          <w:b/>
          <w:u w:val="single"/>
        </w:rPr>
        <w:t>Definition:</w:t>
      </w:r>
    </w:p>
    <w:p w14:paraId="3B6DF3D1" w14:textId="77777777" w:rsidR="005A2803" w:rsidRDefault="00312D4F" w:rsidP="00CD776A">
      <w:pPr>
        <w:pStyle w:val="BodyText"/>
        <w:spacing w:before="33" w:line="259" w:lineRule="auto"/>
        <w:jc w:val="both"/>
      </w:pPr>
      <w:r>
        <w:t>Building Permit Valuation, or Construction Valuation, is the value used in computing the building permit and building plan review fees.</w:t>
      </w:r>
    </w:p>
    <w:p w14:paraId="042F6BCD" w14:textId="77777777" w:rsidR="005A2803" w:rsidRPr="00470B9D" w:rsidRDefault="00312D4F" w:rsidP="00CD776A">
      <w:pPr>
        <w:pStyle w:val="BodyText"/>
        <w:spacing w:before="4" w:line="273" w:lineRule="auto"/>
        <w:ind w:right="152"/>
        <w:jc w:val="both"/>
        <w:rPr>
          <w:rFonts w:ascii="Times New Roman"/>
          <w:i/>
        </w:rPr>
      </w:pPr>
      <w:r w:rsidRPr="00470B9D">
        <w:rPr>
          <w:rFonts w:ascii="Times New Roman"/>
          <w:b/>
          <w:i/>
        </w:rPr>
        <w:t>CBC 109.3 Building Permit Valuations</w:t>
      </w:r>
      <w:r w:rsidRPr="00470B9D">
        <w:rPr>
          <w:rFonts w:ascii="Times New Roman"/>
          <w:i/>
        </w:rPr>
        <w:t xml:space="preserve"> - The applicant for a permit shall provide an estimated permit value at time of application. Permit valuations shall include total value of work, including materials and labor, for which the permit </w:t>
      </w:r>
      <w:proofErr w:type="gramStart"/>
      <w:r w:rsidRPr="00470B9D">
        <w:rPr>
          <w:rFonts w:ascii="Times New Roman"/>
          <w:i/>
        </w:rPr>
        <w:t>is being issued</w:t>
      </w:r>
      <w:proofErr w:type="gramEnd"/>
      <w:r w:rsidRPr="00470B9D">
        <w:rPr>
          <w:rFonts w:ascii="Times New Roman"/>
          <w:i/>
        </w:rPr>
        <w:t xml:space="preserve">, such as electrical, gas, mechanical, plumbing equipment and permanent systems. If, in the opinion of the building official, the valuation </w:t>
      </w:r>
      <w:proofErr w:type="gramStart"/>
      <w:r w:rsidRPr="00470B9D">
        <w:rPr>
          <w:rFonts w:ascii="Times New Roman"/>
          <w:i/>
        </w:rPr>
        <w:t>is underestimated</w:t>
      </w:r>
      <w:proofErr w:type="gramEnd"/>
      <w:r w:rsidRPr="00470B9D">
        <w:rPr>
          <w:rFonts w:ascii="Times New Roman"/>
          <w:i/>
        </w:rPr>
        <w:t xml:space="preserve"> on the application, the permit shall be denied, unless the applicant can show detailed estimates to meet the approval of the building official. </w:t>
      </w:r>
      <w:proofErr w:type="gramStart"/>
      <w:r w:rsidRPr="00470B9D">
        <w:rPr>
          <w:rFonts w:ascii="Times New Roman"/>
          <w:i/>
        </w:rPr>
        <w:t>Final building permit valuation shall</w:t>
      </w:r>
      <w:r w:rsidRPr="00470B9D">
        <w:rPr>
          <w:rFonts w:ascii="Times New Roman"/>
          <w:i/>
          <w:spacing w:val="-8"/>
        </w:rPr>
        <w:t xml:space="preserve"> </w:t>
      </w:r>
      <w:r w:rsidRPr="00470B9D">
        <w:rPr>
          <w:rFonts w:ascii="Times New Roman"/>
          <w:i/>
        </w:rPr>
        <w:t>be</w:t>
      </w:r>
      <w:r w:rsidRPr="00470B9D">
        <w:rPr>
          <w:rFonts w:ascii="Times New Roman"/>
          <w:i/>
          <w:spacing w:val="-8"/>
        </w:rPr>
        <w:t xml:space="preserve"> </w:t>
      </w:r>
      <w:r w:rsidRPr="00470B9D">
        <w:rPr>
          <w:rFonts w:ascii="Times New Roman"/>
          <w:i/>
        </w:rPr>
        <w:t>set</w:t>
      </w:r>
      <w:r w:rsidRPr="00470B9D">
        <w:rPr>
          <w:rFonts w:ascii="Times New Roman"/>
          <w:i/>
          <w:spacing w:val="-11"/>
        </w:rPr>
        <w:t xml:space="preserve"> </w:t>
      </w:r>
      <w:r w:rsidRPr="00470B9D">
        <w:rPr>
          <w:rFonts w:ascii="Times New Roman"/>
          <w:i/>
        </w:rPr>
        <w:t>by</w:t>
      </w:r>
      <w:r w:rsidRPr="00470B9D">
        <w:rPr>
          <w:rFonts w:ascii="Times New Roman"/>
          <w:i/>
          <w:spacing w:val="-8"/>
        </w:rPr>
        <w:t xml:space="preserve"> </w:t>
      </w:r>
      <w:r w:rsidRPr="00470B9D">
        <w:rPr>
          <w:rFonts w:ascii="Times New Roman"/>
          <w:i/>
        </w:rPr>
        <w:t>the</w:t>
      </w:r>
      <w:r w:rsidRPr="00470B9D">
        <w:rPr>
          <w:rFonts w:ascii="Times New Roman"/>
          <w:i/>
          <w:spacing w:val="-9"/>
        </w:rPr>
        <w:t xml:space="preserve"> </w:t>
      </w:r>
      <w:r w:rsidRPr="00470B9D">
        <w:rPr>
          <w:rFonts w:ascii="Times New Roman"/>
          <w:i/>
        </w:rPr>
        <w:t>building</w:t>
      </w:r>
      <w:r w:rsidRPr="00470B9D">
        <w:rPr>
          <w:rFonts w:ascii="Times New Roman"/>
          <w:i/>
          <w:spacing w:val="-9"/>
        </w:rPr>
        <w:t xml:space="preserve"> </w:t>
      </w:r>
      <w:r w:rsidRPr="00470B9D">
        <w:rPr>
          <w:rFonts w:ascii="Times New Roman"/>
          <w:i/>
        </w:rPr>
        <w:t>official</w:t>
      </w:r>
      <w:proofErr w:type="gramEnd"/>
      <w:r w:rsidRPr="00470B9D">
        <w:rPr>
          <w:rFonts w:ascii="Times New Roman"/>
          <w:i/>
        </w:rPr>
        <w:t>.</w:t>
      </w:r>
    </w:p>
    <w:p w14:paraId="2A4746E7" w14:textId="77777777" w:rsidR="00CF5241" w:rsidRDefault="00CF5241" w:rsidP="00CD776A">
      <w:pPr>
        <w:pStyle w:val="BodyText"/>
        <w:spacing w:before="2"/>
        <w:jc w:val="both"/>
        <w:rPr>
          <w:rFonts w:ascii="Times New Roman"/>
          <w:b/>
          <w:u w:val="single"/>
        </w:rPr>
      </w:pPr>
    </w:p>
    <w:p w14:paraId="0B77E4F0" w14:textId="77777777" w:rsidR="005A2803" w:rsidRPr="00470B9D" w:rsidRDefault="00312D4F" w:rsidP="00CD776A">
      <w:pPr>
        <w:pStyle w:val="BodyText"/>
        <w:spacing w:before="2"/>
        <w:jc w:val="both"/>
        <w:rPr>
          <w:rFonts w:ascii="Times New Roman"/>
          <w:b/>
          <w:u w:val="single"/>
        </w:rPr>
      </w:pPr>
      <w:r w:rsidRPr="00470B9D">
        <w:rPr>
          <w:rFonts w:ascii="Times New Roman"/>
          <w:b/>
          <w:u w:val="single"/>
        </w:rPr>
        <w:t>Policy:</w:t>
      </w:r>
    </w:p>
    <w:p w14:paraId="11967693" w14:textId="77777777" w:rsidR="005A2803" w:rsidRDefault="00312D4F" w:rsidP="00CD776A">
      <w:pPr>
        <w:pStyle w:val="BodyText"/>
        <w:spacing w:before="32"/>
        <w:jc w:val="both"/>
      </w:pPr>
      <w:r>
        <w:t xml:space="preserve">Owner-Builders, “do-it-yourselfers” or </w:t>
      </w:r>
      <w:r w:rsidR="00470B9D">
        <w:t xml:space="preserve">individuals </w:t>
      </w:r>
      <w:r>
        <w:t xml:space="preserve">claiming “sweat-equity” will need to estimate the </w:t>
      </w:r>
      <w:r w:rsidR="00470B9D">
        <w:t xml:space="preserve">BPV </w:t>
      </w:r>
      <w:r>
        <w:t xml:space="preserve">for their permits as though they were hiring a licensed contractor to perform the work, as defined above. Written estimates from contractors or subcontractors would be an acceptable way to determine </w:t>
      </w:r>
      <w:r w:rsidR="00470B9D">
        <w:t>BPV</w:t>
      </w:r>
      <w:r>
        <w:t>.</w:t>
      </w:r>
    </w:p>
    <w:p w14:paraId="544F9F65" w14:textId="77777777" w:rsidR="005A2803" w:rsidRDefault="00312D4F" w:rsidP="00CD776A">
      <w:pPr>
        <w:pStyle w:val="BodyText"/>
        <w:jc w:val="both"/>
      </w:pPr>
      <w:r>
        <w:t xml:space="preserve">Upon request, contractors may be required to provide a copy of their construction contract for verification of the </w:t>
      </w:r>
      <w:r w:rsidR="00470B9D">
        <w:t>BPV</w:t>
      </w:r>
      <w:r>
        <w:t xml:space="preserve">. Contractors providing low valuations on permit applications </w:t>
      </w:r>
      <w:proofErr w:type="gramStart"/>
      <w:r>
        <w:t>may be referred</w:t>
      </w:r>
      <w:proofErr w:type="gramEnd"/>
      <w:r>
        <w:t xml:space="preserve"> to the California Contractors State License Board (CSLB) for potential action.</w:t>
      </w:r>
      <w:r w:rsidR="00470B9D">
        <w:t xml:space="preserve">  </w:t>
      </w:r>
    </w:p>
    <w:p w14:paraId="0DA2D62A" w14:textId="77777777" w:rsidR="005A2803" w:rsidRDefault="00312D4F" w:rsidP="00CD776A">
      <w:pPr>
        <w:pStyle w:val="BodyText"/>
        <w:jc w:val="both"/>
      </w:pPr>
      <w:r>
        <w:t>The Owner-Builder can also determine a “ball-park” estimate for their construction valuation</w:t>
      </w:r>
      <w:r w:rsidR="00AE70CB">
        <w:t>, with approval of Building &amp; Safety staff</w:t>
      </w:r>
      <w:r>
        <w:t xml:space="preserve"> by providing a cost breakdown using the following formula:</w:t>
      </w:r>
    </w:p>
    <w:p w14:paraId="3AFEAF06" w14:textId="77777777" w:rsidR="00AE70CB" w:rsidRDefault="00AE70CB" w:rsidP="00CD776A">
      <w:pPr>
        <w:pStyle w:val="BodyText"/>
        <w:ind w:left="720" w:right="777" w:firstLine="100"/>
        <w:jc w:val="both"/>
      </w:pPr>
    </w:p>
    <w:p w14:paraId="578D41A2" w14:textId="77777777" w:rsidR="00470B9D" w:rsidRPr="00AE70CB" w:rsidRDefault="00AE70CB" w:rsidP="00CD776A">
      <w:pPr>
        <w:pStyle w:val="BodyText"/>
        <w:ind w:left="720" w:right="777" w:firstLine="100"/>
        <w:jc w:val="both"/>
        <w:rPr>
          <w:b/>
        </w:rPr>
      </w:pPr>
      <w:r>
        <w:rPr>
          <w:b/>
        </w:rPr>
        <w:t xml:space="preserve">BPV = </w:t>
      </w:r>
      <w:r w:rsidR="00312D4F" w:rsidRPr="00AE70CB">
        <w:rPr>
          <w:b/>
        </w:rPr>
        <w:t>Retail Cost of Materials + (# of labor hours to c</w:t>
      </w:r>
      <w:r w:rsidR="000539FD">
        <w:rPr>
          <w:b/>
        </w:rPr>
        <w:t>omplete the entire project x $7</w:t>
      </w:r>
      <w:r w:rsidR="00CF5241">
        <w:rPr>
          <w:b/>
        </w:rPr>
        <w:t>5</w:t>
      </w:r>
      <w:r w:rsidR="006C0830">
        <w:rPr>
          <w:b/>
        </w:rPr>
        <w:t xml:space="preserve"> / </w:t>
      </w:r>
      <w:proofErr w:type="spellStart"/>
      <w:r w:rsidR="006C0830">
        <w:rPr>
          <w:b/>
        </w:rPr>
        <w:t>h</w:t>
      </w:r>
      <w:r w:rsidR="00312D4F" w:rsidRPr="00AE70CB">
        <w:rPr>
          <w:b/>
        </w:rPr>
        <w:t>r</w:t>
      </w:r>
      <w:proofErr w:type="spellEnd"/>
      <w:r w:rsidR="00312D4F" w:rsidRPr="00AE70CB">
        <w:rPr>
          <w:b/>
        </w:rPr>
        <w:t xml:space="preserve">) </w:t>
      </w:r>
    </w:p>
    <w:p w14:paraId="611BD67D" w14:textId="77777777" w:rsidR="00470B9D" w:rsidRDefault="00470B9D" w:rsidP="00CD776A">
      <w:pPr>
        <w:pStyle w:val="BodyText"/>
        <w:ind w:right="777" w:firstLine="620"/>
        <w:jc w:val="both"/>
      </w:pPr>
    </w:p>
    <w:p w14:paraId="0400762B" w14:textId="77777777" w:rsidR="005A2803" w:rsidRPr="00AE70CB" w:rsidRDefault="00312D4F" w:rsidP="00CD776A">
      <w:pPr>
        <w:pStyle w:val="BodyText"/>
        <w:ind w:right="777"/>
        <w:jc w:val="both"/>
        <w:rPr>
          <w:b/>
          <w:u w:val="single"/>
        </w:rPr>
      </w:pPr>
      <w:r w:rsidRPr="00AE70CB">
        <w:rPr>
          <w:b/>
          <w:u w:val="single"/>
        </w:rPr>
        <w:t>Example:</w:t>
      </w:r>
    </w:p>
    <w:p w14:paraId="20C213A9" w14:textId="77777777" w:rsidR="005A2803" w:rsidRDefault="00AE70CB" w:rsidP="00CD776A">
      <w:pPr>
        <w:pStyle w:val="BodyText"/>
        <w:ind w:right="103"/>
        <w:jc w:val="both"/>
      </w:pPr>
      <w:r>
        <w:t>A remodel of a</w:t>
      </w:r>
      <w:r w:rsidR="00312D4F">
        <w:t xml:space="preserve"> bathroom. This will include replacement of toilet, shower enclosure, sink, flooring, and new outlets and lighting. The retai</w:t>
      </w:r>
      <w:r w:rsidR="00CF5241">
        <w:t>l cost of materials is $8,000</w:t>
      </w:r>
      <w:r w:rsidR="00312D4F">
        <w:t>.  The customer will need to determine an approximate number of hours that e</w:t>
      </w:r>
      <w:r>
        <w:t>ach part of the project would reasonably</w:t>
      </w:r>
      <w:r w:rsidR="00312D4F">
        <w:t xml:space="preserve"> take</w:t>
      </w:r>
      <w:r>
        <w:t xml:space="preserve"> - assume</w:t>
      </w:r>
      <w:r w:rsidR="00CF5241">
        <w:t xml:space="preserve"> 10</w:t>
      </w:r>
      <w:r w:rsidR="00312D4F">
        <w:t>0 hours to complete this project.</w:t>
      </w:r>
      <w:r>
        <w:t xml:space="preserve">  </w:t>
      </w:r>
      <w:r w:rsidR="00312D4F">
        <w:t>Now,</w:t>
      </w:r>
      <w:r w:rsidR="00312D4F">
        <w:rPr>
          <w:spacing w:val="-3"/>
        </w:rPr>
        <w:t xml:space="preserve"> </w:t>
      </w:r>
      <w:r w:rsidR="00312D4F">
        <w:t>the</w:t>
      </w:r>
      <w:r w:rsidR="00312D4F">
        <w:rPr>
          <w:spacing w:val="-1"/>
        </w:rPr>
        <w:t xml:space="preserve"> </w:t>
      </w:r>
      <w:r w:rsidR="00312D4F">
        <w:t>customer</w:t>
      </w:r>
      <w:r w:rsidR="00312D4F">
        <w:rPr>
          <w:spacing w:val="-3"/>
        </w:rPr>
        <w:t xml:space="preserve"> </w:t>
      </w:r>
      <w:r w:rsidR="00312D4F">
        <w:t>will</w:t>
      </w:r>
      <w:r w:rsidR="00312D4F">
        <w:rPr>
          <w:spacing w:val="-3"/>
        </w:rPr>
        <w:t xml:space="preserve"> </w:t>
      </w:r>
      <w:r w:rsidR="00312D4F">
        <w:t>multiply</w:t>
      </w:r>
      <w:r w:rsidR="00312D4F">
        <w:rPr>
          <w:spacing w:val="-1"/>
        </w:rPr>
        <w:t xml:space="preserve"> </w:t>
      </w:r>
      <w:r w:rsidR="00312D4F">
        <w:t>the</w:t>
      </w:r>
      <w:r w:rsidR="00312D4F">
        <w:rPr>
          <w:spacing w:val="-3"/>
        </w:rPr>
        <w:t xml:space="preserve"> </w:t>
      </w:r>
      <w:r w:rsidR="00312D4F">
        <w:t>number</w:t>
      </w:r>
      <w:r w:rsidR="00312D4F">
        <w:rPr>
          <w:spacing w:val="-3"/>
        </w:rPr>
        <w:t xml:space="preserve"> </w:t>
      </w:r>
      <w:r w:rsidR="00312D4F">
        <w:t>of</w:t>
      </w:r>
      <w:r w:rsidR="00312D4F">
        <w:rPr>
          <w:spacing w:val="-5"/>
        </w:rPr>
        <w:t xml:space="preserve"> </w:t>
      </w:r>
      <w:r w:rsidR="00312D4F">
        <w:t>hours</w:t>
      </w:r>
      <w:r w:rsidR="00312D4F">
        <w:rPr>
          <w:spacing w:val="-3"/>
        </w:rPr>
        <w:t xml:space="preserve"> </w:t>
      </w:r>
      <w:r w:rsidR="00CF5241">
        <w:t>(10</w:t>
      </w:r>
      <w:r w:rsidR="00312D4F">
        <w:t>0</w:t>
      </w:r>
      <w:r w:rsidR="00312D4F">
        <w:rPr>
          <w:spacing w:val="-1"/>
        </w:rPr>
        <w:t xml:space="preserve"> </w:t>
      </w:r>
      <w:r w:rsidR="00312D4F">
        <w:t>hours)</w:t>
      </w:r>
      <w:r w:rsidR="00312D4F">
        <w:rPr>
          <w:spacing w:val="-1"/>
        </w:rPr>
        <w:t xml:space="preserve"> </w:t>
      </w:r>
      <w:r w:rsidR="00312D4F">
        <w:t>by an</w:t>
      </w:r>
      <w:r w:rsidR="00312D4F">
        <w:rPr>
          <w:spacing w:val="-1"/>
        </w:rPr>
        <w:t xml:space="preserve"> </w:t>
      </w:r>
      <w:r w:rsidR="00312D4F">
        <w:t>average</w:t>
      </w:r>
      <w:r w:rsidR="00312D4F">
        <w:rPr>
          <w:spacing w:val="-1"/>
        </w:rPr>
        <w:t xml:space="preserve"> </w:t>
      </w:r>
      <w:r w:rsidR="00312D4F">
        <w:t>hourly</w:t>
      </w:r>
      <w:r w:rsidR="00312D4F">
        <w:rPr>
          <w:spacing w:val="-1"/>
        </w:rPr>
        <w:t xml:space="preserve"> </w:t>
      </w:r>
      <w:r w:rsidR="00312D4F">
        <w:t>rate</w:t>
      </w:r>
      <w:r w:rsidR="00312D4F">
        <w:rPr>
          <w:spacing w:val="-3"/>
        </w:rPr>
        <w:t xml:space="preserve"> </w:t>
      </w:r>
      <w:r w:rsidR="00312D4F">
        <w:t>that</w:t>
      </w:r>
      <w:r w:rsidR="00312D4F">
        <w:rPr>
          <w:spacing w:val="-3"/>
        </w:rPr>
        <w:t xml:space="preserve"> </w:t>
      </w:r>
      <w:r w:rsidR="00312D4F">
        <w:t>a</w:t>
      </w:r>
      <w:r w:rsidR="00312D4F">
        <w:rPr>
          <w:spacing w:val="-1"/>
        </w:rPr>
        <w:t xml:space="preserve"> </w:t>
      </w:r>
      <w:r w:rsidR="00312D4F">
        <w:t>contractor</w:t>
      </w:r>
      <w:r w:rsidR="00312D4F">
        <w:rPr>
          <w:spacing w:val="-4"/>
        </w:rPr>
        <w:t xml:space="preserve"> </w:t>
      </w:r>
      <w:r w:rsidR="00312D4F">
        <w:t xml:space="preserve">would charge. For </w:t>
      </w:r>
      <w:r>
        <w:t>valuation</w:t>
      </w:r>
      <w:r w:rsidR="00312D4F">
        <w:t xml:space="preserve"> purposes</w:t>
      </w:r>
      <w:r w:rsidR="000539FD">
        <w:t>, it has been determined that $7</w:t>
      </w:r>
      <w:r>
        <w:t>5</w:t>
      </w:r>
      <w:r w:rsidR="00312D4F">
        <w:t>.00 per hour is an adequate figure for residential permits.</w:t>
      </w:r>
    </w:p>
    <w:p w14:paraId="5078EB2C" w14:textId="77777777" w:rsidR="00AE70CB" w:rsidRDefault="00AE70CB" w:rsidP="00CD776A">
      <w:pPr>
        <w:pStyle w:val="BodyText"/>
        <w:jc w:val="both"/>
      </w:pPr>
    </w:p>
    <w:p w14:paraId="49E2DA57" w14:textId="77777777" w:rsidR="005A2803" w:rsidRPr="00CF5241" w:rsidRDefault="00AE70CB" w:rsidP="00CD776A">
      <w:pPr>
        <w:pStyle w:val="BodyText"/>
        <w:ind w:firstLine="620"/>
        <w:jc w:val="both"/>
        <w:rPr>
          <w:b/>
        </w:rPr>
      </w:pPr>
      <w:r w:rsidRPr="00CF5241">
        <w:rPr>
          <w:b/>
        </w:rPr>
        <w:t xml:space="preserve">BPV = </w:t>
      </w:r>
      <w:r w:rsidR="00312D4F" w:rsidRPr="00CF5241">
        <w:rPr>
          <w:b/>
        </w:rPr>
        <w:t>$</w:t>
      </w:r>
      <w:r w:rsidR="00CF5241">
        <w:rPr>
          <w:b/>
        </w:rPr>
        <w:t>8</w:t>
      </w:r>
      <w:r w:rsidR="00CF5241" w:rsidRPr="00CF5241">
        <w:rPr>
          <w:b/>
        </w:rPr>
        <w:t>,000</w:t>
      </w:r>
      <w:r w:rsidR="00312D4F" w:rsidRPr="00CF5241">
        <w:rPr>
          <w:b/>
        </w:rPr>
        <w:t xml:space="preserve"> (retail cost) + (</w:t>
      </w:r>
      <w:r w:rsidR="00CF5241" w:rsidRPr="00CF5241">
        <w:rPr>
          <w:b/>
        </w:rPr>
        <w:t>100</w:t>
      </w:r>
      <w:r w:rsidR="000539FD">
        <w:rPr>
          <w:b/>
        </w:rPr>
        <w:t xml:space="preserve"> hours labor x $7</w:t>
      </w:r>
      <w:r w:rsidRPr="00CF5241">
        <w:rPr>
          <w:b/>
        </w:rPr>
        <w:t>5</w:t>
      </w:r>
      <w:r w:rsidR="00CF5241" w:rsidRPr="00CF5241">
        <w:rPr>
          <w:b/>
        </w:rPr>
        <w:t xml:space="preserve"> / </w:t>
      </w:r>
      <w:proofErr w:type="spellStart"/>
      <w:r w:rsidR="00CF5241" w:rsidRPr="00CF5241">
        <w:rPr>
          <w:b/>
        </w:rPr>
        <w:t>hr</w:t>
      </w:r>
      <w:proofErr w:type="spellEnd"/>
      <w:r w:rsidR="00312D4F" w:rsidRPr="00CF5241">
        <w:rPr>
          <w:b/>
        </w:rPr>
        <w:t>) = $</w:t>
      </w:r>
      <w:r w:rsidR="000539FD">
        <w:rPr>
          <w:b/>
        </w:rPr>
        <w:t>15</w:t>
      </w:r>
      <w:r w:rsidR="00CF5241">
        <w:rPr>
          <w:b/>
        </w:rPr>
        <w:t xml:space="preserve">,500 </w:t>
      </w:r>
      <w:r w:rsidR="00312D4F" w:rsidRPr="00CF5241">
        <w:rPr>
          <w:b/>
        </w:rPr>
        <w:t>for residential bathroom remodel project.</w:t>
      </w:r>
    </w:p>
    <w:p w14:paraId="1EDF0FE7" w14:textId="77777777" w:rsidR="00CF5241" w:rsidRDefault="00CF5241" w:rsidP="00CD776A">
      <w:pPr>
        <w:pStyle w:val="BodyText"/>
        <w:jc w:val="both"/>
      </w:pPr>
    </w:p>
    <w:p w14:paraId="1F84F17A" w14:textId="61B208BB" w:rsidR="00832271" w:rsidRPr="00832271" w:rsidRDefault="00312D4F" w:rsidP="0002261A">
      <w:pPr>
        <w:pStyle w:val="BodyText"/>
        <w:jc w:val="both"/>
      </w:pPr>
      <w:r>
        <w:t>Keep in mind that the permit valuation does not have to be an exact science as the permit fees is only a small percentage of that value.</w:t>
      </w:r>
    </w:p>
    <w:p w14:paraId="4A3087E6" w14:textId="77777777" w:rsidR="00832271" w:rsidRDefault="00832271" w:rsidP="00832271"/>
    <w:p w14:paraId="42DA4D55" w14:textId="77777777" w:rsidR="005A2803" w:rsidRPr="00832271" w:rsidRDefault="005A2803" w:rsidP="00832271"/>
    <w:sectPr w:rsidR="005A2803" w:rsidRPr="00832271" w:rsidSect="00832271">
      <w:headerReference w:type="even" r:id="rId8"/>
      <w:headerReference w:type="default" r:id="rId9"/>
      <w:footerReference w:type="even" r:id="rId10"/>
      <w:footerReference w:type="default" r:id="rId11"/>
      <w:headerReference w:type="first" r:id="rId12"/>
      <w:footerReference w:type="first" r:id="rId13"/>
      <w:type w:val="continuous"/>
      <w:pgSz w:w="12240" w:h="15840"/>
      <w:pgMar w:top="420" w:right="640" w:bottom="280" w:left="980" w:header="432" w:footer="14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113B3F" w14:textId="77777777" w:rsidR="00470B9D" w:rsidRDefault="00470B9D" w:rsidP="00470B9D">
      <w:r>
        <w:separator/>
      </w:r>
    </w:p>
  </w:endnote>
  <w:endnote w:type="continuationSeparator" w:id="0">
    <w:p w14:paraId="6A1A8786" w14:textId="77777777" w:rsidR="00470B9D" w:rsidRDefault="00470B9D" w:rsidP="00470B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dobe Arabic">
    <w:panose1 w:val="02040503050201020203"/>
    <w:charset w:val="00"/>
    <w:family w:val="roman"/>
    <w:notTrueType/>
    <w:pitch w:val="variable"/>
    <w:sig w:usb0="8000202F" w:usb1="8000A04A"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8196EA" w14:textId="77777777" w:rsidR="00895502" w:rsidRDefault="008955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D920DC" w14:textId="71D5EA63" w:rsidR="00832271" w:rsidRPr="00832271" w:rsidRDefault="00832271">
    <w:pPr>
      <w:rPr>
        <w:sz w:val="18"/>
        <w:szCs w:val="18"/>
      </w:rPr>
    </w:pPr>
    <w:r w:rsidRPr="00832271">
      <w:rPr>
        <w:sz w:val="18"/>
        <w:szCs w:val="18"/>
      </w:rPr>
      <w:fldChar w:fldCharType="begin"/>
    </w:r>
    <w:r w:rsidRPr="00832271">
      <w:rPr>
        <w:sz w:val="18"/>
        <w:szCs w:val="18"/>
      </w:rPr>
      <w:instrText xml:space="preserve"> FILENAME  \* Lower \p  \* MERGEFORMAT </w:instrText>
    </w:r>
    <w:r w:rsidRPr="00832271">
      <w:rPr>
        <w:sz w:val="18"/>
        <w:szCs w:val="18"/>
      </w:rPr>
      <w:fldChar w:fldCharType="separate"/>
    </w:r>
    <w:r w:rsidR="0002261A">
      <w:rPr>
        <w:noProof/>
        <w:sz w:val="18"/>
        <w:szCs w:val="18"/>
      </w:rPr>
      <w:t>https://agourahills-my.sharepoint.com/personal/lquach_agourahillscity_org/documents/desktop/handouts lq/rtp/2022 code updates/op-03-permit valuation policy-22.docx</w:t>
    </w:r>
    <w:r w:rsidRPr="00832271">
      <w:rPr>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6A9357" w14:textId="77777777" w:rsidR="00895502" w:rsidRDefault="008955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CE6A0B" w14:textId="77777777" w:rsidR="00470B9D" w:rsidRDefault="00470B9D" w:rsidP="00470B9D">
      <w:r>
        <w:separator/>
      </w:r>
    </w:p>
  </w:footnote>
  <w:footnote w:type="continuationSeparator" w:id="0">
    <w:p w14:paraId="24C704D6" w14:textId="77777777" w:rsidR="00470B9D" w:rsidRDefault="00470B9D" w:rsidP="00470B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2F734" w14:textId="77777777" w:rsidR="00895502" w:rsidRDefault="008955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Ind w:w="-195" w:type="dxa"/>
      <w:tblLook w:val="04A0" w:firstRow="1" w:lastRow="0" w:firstColumn="1" w:lastColumn="0" w:noHBand="0" w:noVBand="1"/>
    </w:tblPr>
    <w:tblGrid>
      <w:gridCol w:w="3259"/>
      <w:gridCol w:w="4310"/>
      <w:gridCol w:w="1605"/>
      <w:gridCol w:w="1611"/>
    </w:tblGrid>
    <w:tr w:rsidR="00312D4F" w:rsidRPr="006D7E02" w14:paraId="5A7B0722" w14:textId="77777777" w:rsidTr="005C3FCD">
      <w:trPr>
        <w:trHeight w:val="1296"/>
      </w:trPr>
      <w:tc>
        <w:tcPr>
          <w:tcW w:w="3259" w:type="dxa"/>
          <w:tcBorders>
            <w:top w:val="single" w:sz="12" w:space="0" w:color="auto"/>
            <w:left w:val="single" w:sz="12" w:space="0" w:color="auto"/>
            <w:bottom w:val="single" w:sz="12" w:space="0" w:color="auto"/>
            <w:right w:val="single" w:sz="12" w:space="0" w:color="auto"/>
          </w:tcBorders>
        </w:tcPr>
        <w:p w14:paraId="5C8F8526" w14:textId="77777777" w:rsidR="00312D4F" w:rsidRPr="006D7E02" w:rsidRDefault="00312D4F" w:rsidP="00470B9D">
          <w:pPr>
            <w:tabs>
              <w:tab w:val="left" w:pos="5160"/>
              <w:tab w:val="center" w:pos="5400"/>
            </w:tabs>
            <w:jc w:val="center"/>
            <w:rPr>
              <w:rFonts w:ascii="Adobe Arabic" w:hAnsi="Adobe Arabic" w:cs="Adobe Arabic"/>
              <w:b/>
              <w:sz w:val="42"/>
              <w:szCs w:val="42"/>
            </w:rPr>
          </w:pPr>
          <w:r w:rsidRPr="006D7E02">
            <w:rPr>
              <w:b/>
              <w:noProof/>
            </w:rPr>
            <w:drawing>
              <wp:anchor distT="0" distB="0" distL="114300" distR="114300" simplePos="0" relativeHeight="251659776" behindDoc="1" locked="0" layoutInCell="1" allowOverlap="1" wp14:anchorId="1989A7CC" wp14:editId="50F70736">
                <wp:simplePos x="0" y="0"/>
                <wp:positionH relativeFrom="column">
                  <wp:posOffset>-69850</wp:posOffset>
                </wp:positionH>
                <wp:positionV relativeFrom="paragraph">
                  <wp:posOffset>-113030</wp:posOffset>
                </wp:positionV>
                <wp:extent cx="2009775" cy="1219200"/>
                <wp:effectExtent l="0" t="0" r="0" b="0"/>
                <wp:wrapNone/>
                <wp:docPr id="3" name="Picture 3" descr="Slid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lide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9775" cy="12192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0" w:type="auto"/>
          <w:tcBorders>
            <w:top w:val="single" w:sz="12" w:space="0" w:color="auto"/>
            <w:left w:val="single" w:sz="12" w:space="0" w:color="auto"/>
            <w:bottom w:val="single" w:sz="12" w:space="0" w:color="auto"/>
            <w:right w:val="single" w:sz="12" w:space="0" w:color="auto"/>
          </w:tcBorders>
          <w:vAlign w:val="center"/>
        </w:tcPr>
        <w:p w14:paraId="08F3F8D2" w14:textId="77777777" w:rsidR="00683BC1" w:rsidRPr="006D7E02" w:rsidRDefault="00683BC1" w:rsidP="00683BC1">
          <w:pPr>
            <w:tabs>
              <w:tab w:val="left" w:pos="5160"/>
              <w:tab w:val="center" w:pos="5400"/>
            </w:tabs>
            <w:jc w:val="center"/>
            <w:rPr>
              <w:rFonts w:ascii="Adobe Arabic" w:hAnsi="Adobe Arabic" w:cs="Adobe Arabic"/>
              <w:b/>
              <w:sz w:val="42"/>
              <w:szCs w:val="42"/>
            </w:rPr>
          </w:pPr>
          <w:r w:rsidRPr="006D7E02">
            <w:rPr>
              <w:rFonts w:ascii="Adobe Arabic" w:hAnsi="Adobe Arabic" w:cs="Adobe Arabic"/>
              <w:b/>
              <w:sz w:val="42"/>
              <w:szCs w:val="42"/>
            </w:rPr>
            <w:t>CITY OF AGOURA HILLS</w:t>
          </w:r>
        </w:p>
        <w:p w14:paraId="129D46FD" w14:textId="77777777" w:rsidR="00683BC1" w:rsidRPr="006D7E02" w:rsidRDefault="00683BC1" w:rsidP="00683BC1">
          <w:pPr>
            <w:jc w:val="center"/>
            <w:rPr>
              <w:rFonts w:ascii="Adobe Arabic" w:hAnsi="Adobe Arabic" w:cs="Adobe Arabic"/>
              <w:b/>
              <w:color w:val="000000"/>
              <w:kern w:val="28"/>
              <w:sz w:val="28"/>
              <w:szCs w:val="28"/>
            </w:rPr>
          </w:pPr>
          <w:r w:rsidRPr="006D7E02">
            <w:rPr>
              <w:rFonts w:ascii="Adobe Arabic" w:hAnsi="Adobe Arabic" w:cs="Adobe Arabic"/>
              <w:b/>
              <w:color w:val="000000"/>
              <w:kern w:val="28"/>
              <w:sz w:val="28"/>
              <w:szCs w:val="28"/>
            </w:rPr>
            <w:t xml:space="preserve">BUILDING </w:t>
          </w:r>
          <w:r w:rsidR="007D0FC7">
            <w:rPr>
              <w:rFonts w:ascii="Adobe Arabic" w:hAnsi="Adobe Arabic" w:cs="Adobe Arabic"/>
              <w:b/>
              <w:color w:val="000000"/>
              <w:kern w:val="28"/>
              <w:sz w:val="28"/>
              <w:szCs w:val="28"/>
            </w:rPr>
            <w:t xml:space="preserve">&amp; </w:t>
          </w:r>
          <w:r w:rsidRPr="006D7E02">
            <w:rPr>
              <w:rFonts w:ascii="Adobe Arabic" w:hAnsi="Adobe Arabic" w:cs="Adobe Arabic"/>
              <w:b/>
              <w:color w:val="000000"/>
              <w:kern w:val="28"/>
              <w:sz w:val="28"/>
              <w:szCs w:val="28"/>
            </w:rPr>
            <w:t>SAFETY DIVISION</w:t>
          </w:r>
        </w:p>
        <w:p w14:paraId="36B92251" w14:textId="77777777" w:rsidR="00683BC1" w:rsidRPr="006D7E02" w:rsidRDefault="00683BC1" w:rsidP="00683BC1">
          <w:pPr>
            <w:jc w:val="center"/>
            <w:rPr>
              <w:rFonts w:ascii="Adobe Arabic" w:hAnsi="Adobe Arabic" w:cs="Adobe Arabic"/>
              <w:b/>
              <w:color w:val="000000"/>
              <w:kern w:val="28"/>
            </w:rPr>
          </w:pPr>
          <w:r w:rsidRPr="006D7E02">
            <w:rPr>
              <w:rFonts w:ascii="Adobe Arabic" w:hAnsi="Adobe Arabic" w:cs="Adobe Arabic"/>
              <w:b/>
              <w:color w:val="000000"/>
              <w:kern w:val="28"/>
            </w:rPr>
            <w:t>30001 LADYFACE COURT,</w:t>
          </w:r>
        </w:p>
        <w:p w14:paraId="77663F0F" w14:textId="77777777" w:rsidR="00312D4F" w:rsidRPr="006D7E02" w:rsidRDefault="00683BC1" w:rsidP="00683BC1">
          <w:pPr>
            <w:jc w:val="center"/>
            <w:rPr>
              <w:rFonts w:ascii="Adobe Arabic" w:hAnsi="Adobe Arabic" w:cs="Adobe Arabic"/>
              <w:b/>
              <w:sz w:val="42"/>
              <w:szCs w:val="42"/>
            </w:rPr>
          </w:pPr>
          <w:r w:rsidRPr="006D7E02">
            <w:rPr>
              <w:rFonts w:ascii="Adobe Arabic" w:hAnsi="Adobe Arabic" w:cs="Adobe Arabic"/>
              <w:b/>
              <w:color w:val="000000"/>
              <w:kern w:val="28"/>
            </w:rPr>
            <w:t xml:space="preserve"> AGOURA HILLS, CA 91301</w:t>
          </w:r>
        </w:p>
      </w:tc>
      <w:tc>
        <w:tcPr>
          <w:tcW w:w="0" w:type="auto"/>
          <w:gridSpan w:val="2"/>
          <w:tcBorders>
            <w:top w:val="single" w:sz="12" w:space="0" w:color="auto"/>
            <w:left w:val="single" w:sz="12" w:space="0" w:color="auto"/>
            <w:bottom w:val="single" w:sz="12" w:space="0" w:color="auto"/>
            <w:right w:val="single" w:sz="12" w:space="0" w:color="auto"/>
          </w:tcBorders>
          <w:vAlign w:val="center"/>
        </w:tcPr>
        <w:p w14:paraId="288E2726" w14:textId="77777777" w:rsidR="00683BC1" w:rsidRPr="006D7E02" w:rsidRDefault="00683BC1" w:rsidP="00683BC1">
          <w:pPr>
            <w:ind w:right="75"/>
            <w:jc w:val="center"/>
            <w:rPr>
              <w:rFonts w:ascii="Adobe Arabic" w:hAnsi="Adobe Arabic" w:cs="Adobe Arabic"/>
              <w:b/>
            </w:rPr>
          </w:pPr>
        </w:p>
        <w:p w14:paraId="63B8E442" w14:textId="77777777" w:rsidR="0002261A" w:rsidRDefault="0002261A" w:rsidP="0002261A">
          <w:pPr>
            <w:ind w:right="75"/>
            <w:jc w:val="center"/>
            <w:rPr>
              <w:rFonts w:ascii="Adobe Arabic" w:hAnsi="Adobe Arabic" w:cs="Adobe Arabic"/>
              <w:b/>
            </w:rPr>
          </w:pPr>
        </w:p>
        <w:p w14:paraId="714831D3" w14:textId="2C4EBD17" w:rsidR="0002261A" w:rsidRPr="006D7E02" w:rsidRDefault="0002261A" w:rsidP="0002261A">
          <w:pPr>
            <w:ind w:right="75"/>
            <w:jc w:val="center"/>
            <w:rPr>
              <w:rFonts w:ascii="Adobe Arabic" w:hAnsi="Adobe Arabic" w:cs="Adobe Arabic"/>
              <w:b/>
            </w:rPr>
          </w:pPr>
          <w:bookmarkStart w:id="0" w:name="_GoBack"/>
          <w:r>
            <w:rPr>
              <w:rFonts w:ascii="Adobe Arabic" w:hAnsi="Adobe Arabic" w:cs="Adobe Arabic"/>
              <w:b/>
            </w:rPr>
            <w:t>Email: Permits@</w:t>
          </w:r>
          <w:r w:rsidRPr="006D7E02">
            <w:rPr>
              <w:rFonts w:ascii="Adobe Arabic" w:hAnsi="Adobe Arabic" w:cs="Adobe Arabic"/>
              <w:b/>
            </w:rPr>
            <w:t>AgouraHillsCity.org</w:t>
          </w:r>
        </w:p>
        <w:p w14:paraId="79AC65DB" w14:textId="77777777" w:rsidR="0002261A" w:rsidRPr="006D7E02" w:rsidRDefault="0002261A" w:rsidP="0002261A">
          <w:pPr>
            <w:ind w:right="75"/>
            <w:jc w:val="center"/>
            <w:rPr>
              <w:rFonts w:ascii="Adobe Arabic" w:hAnsi="Adobe Arabic" w:cs="Adobe Arabic"/>
              <w:b/>
            </w:rPr>
          </w:pPr>
          <w:r w:rsidRPr="006D7E02">
            <w:rPr>
              <w:rFonts w:ascii="Adobe Arabic" w:hAnsi="Adobe Arabic" w:cs="Adobe Arabic"/>
              <w:b/>
            </w:rPr>
            <w:t>PHONE: (818) 597-7334</w:t>
          </w:r>
        </w:p>
        <w:p w14:paraId="65CC8CA6" w14:textId="77777777" w:rsidR="0002261A" w:rsidRPr="006D7E02" w:rsidRDefault="0002261A" w:rsidP="0002261A">
          <w:pPr>
            <w:ind w:right="75"/>
            <w:jc w:val="center"/>
            <w:rPr>
              <w:rFonts w:ascii="Adobe Arabic" w:hAnsi="Adobe Arabic" w:cs="Adobe Arabic"/>
              <w:b/>
            </w:rPr>
          </w:pPr>
          <w:r w:rsidRPr="006D7E02">
            <w:rPr>
              <w:rFonts w:ascii="Adobe Arabic" w:hAnsi="Adobe Arabic" w:cs="Adobe Arabic"/>
              <w:b/>
            </w:rPr>
            <w:t>www.AgouraHillsCity.org</w:t>
          </w:r>
        </w:p>
        <w:bookmarkEnd w:id="0"/>
        <w:p w14:paraId="1A0C0726" w14:textId="77777777" w:rsidR="00312D4F" w:rsidRPr="006D7E02" w:rsidRDefault="00312D4F" w:rsidP="0002261A">
          <w:pPr>
            <w:ind w:right="75"/>
            <w:jc w:val="center"/>
            <w:rPr>
              <w:rFonts w:ascii="Adobe Arabic" w:hAnsi="Adobe Arabic" w:cs="Adobe Arabic"/>
              <w:b/>
              <w:sz w:val="28"/>
              <w:szCs w:val="28"/>
            </w:rPr>
          </w:pPr>
        </w:p>
      </w:tc>
    </w:tr>
    <w:tr w:rsidR="00683BC1" w:rsidRPr="006D7E02" w14:paraId="48000906" w14:textId="77777777" w:rsidTr="005C3FCD">
      <w:tc>
        <w:tcPr>
          <w:tcW w:w="7569" w:type="dxa"/>
          <w:gridSpan w:val="2"/>
          <w:tcBorders>
            <w:left w:val="single" w:sz="12" w:space="0" w:color="auto"/>
            <w:bottom w:val="single" w:sz="12" w:space="0" w:color="auto"/>
            <w:right w:val="single" w:sz="12" w:space="0" w:color="auto"/>
          </w:tcBorders>
        </w:tcPr>
        <w:p w14:paraId="3CCD8462" w14:textId="77777777" w:rsidR="00683BC1" w:rsidRPr="006D7E02" w:rsidRDefault="00683BC1" w:rsidP="00683BC1">
          <w:pPr>
            <w:pStyle w:val="BodyText"/>
            <w:tabs>
              <w:tab w:val="left" w:pos="2310"/>
            </w:tabs>
            <w:spacing w:before="8"/>
            <w:ind w:left="0"/>
            <w:jc w:val="center"/>
            <w:rPr>
              <w:rFonts w:ascii="Adobe Arabic" w:hAnsi="Adobe Arabic" w:cs="Adobe Arabic"/>
              <w:b/>
              <w:sz w:val="28"/>
              <w:szCs w:val="28"/>
            </w:rPr>
          </w:pPr>
          <w:r w:rsidRPr="006D7E02">
            <w:rPr>
              <w:rFonts w:ascii="Times New Roman"/>
              <w:b/>
              <w:sz w:val="28"/>
              <w:szCs w:val="28"/>
            </w:rPr>
            <w:t>Determining Valuations for Building Permits Guideline</w:t>
          </w:r>
        </w:p>
      </w:tc>
      <w:tc>
        <w:tcPr>
          <w:tcW w:w="1605" w:type="dxa"/>
          <w:tcBorders>
            <w:top w:val="single" w:sz="12" w:space="0" w:color="auto"/>
            <w:left w:val="single" w:sz="12" w:space="0" w:color="auto"/>
            <w:bottom w:val="single" w:sz="12" w:space="0" w:color="auto"/>
            <w:right w:val="single" w:sz="12" w:space="0" w:color="auto"/>
          </w:tcBorders>
        </w:tcPr>
        <w:p w14:paraId="335C860F" w14:textId="77777777" w:rsidR="00683BC1" w:rsidRPr="006D7E02" w:rsidRDefault="00683BC1" w:rsidP="00470B9D">
          <w:pPr>
            <w:tabs>
              <w:tab w:val="left" w:pos="5160"/>
              <w:tab w:val="center" w:pos="5400"/>
            </w:tabs>
            <w:jc w:val="center"/>
            <w:rPr>
              <w:rFonts w:ascii="Adobe Arabic" w:hAnsi="Adobe Arabic" w:cs="Adobe Arabic"/>
              <w:b/>
              <w:sz w:val="32"/>
              <w:szCs w:val="32"/>
            </w:rPr>
          </w:pPr>
          <w:r w:rsidRPr="006D7E02">
            <w:rPr>
              <w:rFonts w:ascii="Adobe Arabic" w:hAnsi="Adobe Arabic" w:cs="Adobe Arabic"/>
              <w:b/>
              <w:sz w:val="32"/>
              <w:szCs w:val="32"/>
            </w:rPr>
            <w:t>OP-</w:t>
          </w:r>
          <w:r w:rsidR="00197031">
            <w:rPr>
              <w:rFonts w:ascii="Adobe Arabic" w:hAnsi="Adobe Arabic" w:cs="Adobe Arabic"/>
              <w:b/>
              <w:sz w:val="32"/>
              <w:szCs w:val="32"/>
            </w:rPr>
            <w:t>03</w:t>
          </w:r>
          <w:r w:rsidRPr="006D7E02">
            <w:rPr>
              <w:rFonts w:ascii="Adobe Arabic" w:hAnsi="Adobe Arabic" w:cs="Adobe Arabic"/>
              <w:b/>
              <w:sz w:val="32"/>
              <w:szCs w:val="32"/>
            </w:rPr>
            <w:t xml:space="preserve"> </w:t>
          </w:r>
        </w:p>
      </w:tc>
      <w:tc>
        <w:tcPr>
          <w:tcW w:w="1611" w:type="dxa"/>
          <w:tcBorders>
            <w:top w:val="single" w:sz="12" w:space="0" w:color="auto"/>
            <w:left w:val="single" w:sz="12" w:space="0" w:color="auto"/>
            <w:bottom w:val="single" w:sz="12" w:space="0" w:color="auto"/>
            <w:right w:val="single" w:sz="12" w:space="0" w:color="auto"/>
          </w:tcBorders>
        </w:tcPr>
        <w:p w14:paraId="7F8FBAD9" w14:textId="03E75087" w:rsidR="00683BC1" w:rsidRPr="006D7E02" w:rsidRDefault="00895502" w:rsidP="00470B9D">
          <w:pPr>
            <w:tabs>
              <w:tab w:val="left" w:pos="5160"/>
              <w:tab w:val="center" w:pos="5400"/>
            </w:tabs>
            <w:jc w:val="center"/>
            <w:rPr>
              <w:rFonts w:ascii="Adobe Arabic" w:hAnsi="Adobe Arabic" w:cs="Adobe Arabic"/>
              <w:b/>
              <w:sz w:val="32"/>
              <w:szCs w:val="32"/>
            </w:rPr>
          </w:pPr>
          <w:r>
            <w:rPr>
              <w:rFonts w:ascii="Adobe Arabic" w:hAnsi="Adobe Arabic" w:cs="Adobe Arabic"/>
              <w:b/>
              <w:sz w:val="32"/>
              <w:szCs w:val="32"/>
            </w:rPr>
            <w:t>3-1-23</w:t>
          </w:r>
        </w:p>
      </w:tc>
    </w:tr>
  </w:tbl>
  <w:p w14:paraId="4466FE20" w14:textId="77777777" w:rsidR="00470B9D" w:rsidRPr="00683BC1" w:rsidRDefault="00470B9D" w:rsidP="006D7E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1EC665" w14:textId="77777777" w:rsidR="00895502" w:rsidRDefault="008955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6555F8"/>
    <w:multiLevelType w:val="hybridMultilevel"/>
    <w:tmpl w:val="9260E60C"/>
    <w:lvl w:ilvl="0" w:tplc="D9566F1E">
      <w:numFmt w:val="bullet"/>
      <w:lvlText w:val="•"/>
      <w:lvlJc w:val="left"/>
      <w:pPr>
        <w:ind w:left="820" w:hanging="160"/>
      </w:pPr>
      <w:rPr>
        <w:rFonts w:ascii="Calibri" w:eastAsia="Calibri" w:hAnsi="Calibri" w:cs="Calibri" w:hint="default"/>
        <w:w w:val="100"/>
        <w:sz w:val="22"/>
        <w:szCs w:val="22"/>
      </w:rPr>
    </w:lvl>
    <w:lvl w:ilvl="1" w:tplc="5ED6C09C">
      <w:numFmt w:val="bullet"/>
      <w:lvlText w:val="•"/>
      <w:lvlJc w:val="left"/>
      <w:pPr>
        <w:ind w:left="1800" w:hanging="160"/>
      </w:pPr>
      <w:rPr>
        <w:rFonts w:hint="default"/>
      </w:rPr>
    </w:lvl>
    <w:lvl w:ilvl="2" w:tplc="952413AC">
      <w:numFmt w:val="bullet"/>
      <w:lvlText w:val="•"/>
      <w:lvlJc w:val="left"/>
      <w:pPr>
        <w:ind w:left="2780" w:hanging="160"/>
      </w:pPr>
      <w:rPr>
        <w:rFonts w:hint="default"/>
      </w:rPr>
    </w:lvl>
    <w:lvl w:ilvl="3" w:tplc="F89ADC4A">
      <w:numFmt w:val="bullet"/>
      <w:lvlText w:val="•"/>
      <w:lvlJc w:val="left"/>
      <w:pPr>
        <w:ind w:left="3760" w:hanging="160"/>
      </w:pPr>
      <w:rPr>
        <w:rFonts w:hint="default"/>
      </w:rPr>
    </w:lvl>
    <w:lvl w:ilvl="4" w:tplc="80C0C6AA">
      <w:numFmt w:val="bullet"/>
      <w:lvlText w:val="•"/>
      <w:lvlJc w:val="left"/>
      <w:pPr>
        <w:ind w:left="4740" w:hanging="160"/>
      </w:pPr>
      <w:rPr>
        <w:rFonts w:hint="default"/>
      </w:rPr>
    </w:lvl>
    <w:lvl w:ilvl="5" w:tplc="0C1C111C">
      <w:numFmt w:val="bullet"/>
      <w:lvlText w:val="•"/>
      <w:lvlJc w:val="left"/>
      <w:pPr>
        <w:ind w:left="5720" w:hanging="160"/>
      </w:pPr>
      <w:rPr>
        <w:rFonts w:hint="default"/>
      </w:rPr>
    </w:lvl>
    <w:lvl w:ilvl="6" w:tplc="A97C693E">
      <w:numFmt w:val="bullet"/>
      <w:lvlText w:val="•"/>
      <w:lvlJc w:val="left"/>
      <w:pPr>
        <w:ind w:left="6700" w:hanging="160"/>
      </w:pPr>
      <w:rPr>
        <w:rFonts w:hint="default"/>
      </w:rPr>
    </w:lvl>
    <w:lvl w:ilvl="7" w:tplc="D0168B98">
      <w:numFmt w:val="bullet"/>
      <w:lvlText w:val="•"/>
      <w:lvlJc w:val="left"/>
      <w:pPr>
        <w:ind w:left="7680" w:hanging="160"/>
      </w:pPr>
      <w:rPr>
        <w:rFonts w:hint="default"/>
      </w:rPr>
    </w:lvl>
    <w:lvl w:ilvl="8" w:tplc="D9EA6ED2">
      <w:numFmt w:val="bullet"/>
      <w:lvlText w:val="•"/>
      <w:lvlJc w:val="left"/>
      <w:pPr>
        <w:ind w:left="8660" w:hanging="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1536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803"/>
    <w:rsid w:val="000055FD"/>
    <w:rsid w:val="0002261A"/>
    <w:rsid w:val="000539FD"/>
    <w:rsid w:val="00163096"/>
    <w:rsid w:val="00197031"/>
    <w:rsid w:val="00257A7C"/>
    <w:rsid w:val="00312D4F"/>
    <w:rsid w:val="00470B9D"/>
    <w:rsid w:val="005A2803"/>
    <w:rsid w:val="005B141F"/>
    <w:rsid w:val="005C3FCD"/>
    <w:rsid w:val="00683BC1"/>
    <w:rsid w:val="006C0830"/>
    <w:rsid w:val="006D7E02"/>
    <w:rsid w:val="00726C4A"/>
    <w:rsid w:val="007D0FC7"/>
    <w:rsid w:val="00832271"/>
    <w:rsid w:val="00895502"/>
    <w:rsid w:val="00AE70CB"/>
    <w:rsid w:val="00B322A4"/>
    <w:rsid w:val="00CD776A"/>
    <w:rsid w:val="00CF5241"/>
    <w:rsid w:val="00EF11F1"/>
    <w:rsid w:val="00FD6D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14:docId w14:val="7F960B3B"/>
  <w15:docId w15:val="{8F0D9596-946F-4EB1-AC68-82E756CF2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style>
  <w:style w:type="paragraph" w:styleId="ListParagraph">
    <w:name w:val="List Paragraph"/>
    <w:basedOn w:val="Normal"/>
    <w:uiPriority w:val="1"/>
    <w:qFormat/>
    <w:pPr>
      <w:ind w:left="979" w:hanging="159"/>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70B9D"/>
    <w:pPr>
      <w:tabs>
        <w:tab w:val="center" w:pos="4680"/>
        <w:tab w:val="right" w:pos="9360"/>
      </w:tabs>
    </w:pPr>
  </w:style>
  <w:style w:type="character" w:customStyle="1" w:styleId="HeaderChar">
    <w:name w:val="Header Char"/>
    <w:basedOn w:val="DefaultParagraphFont"/>
    <w:link w:val="Header"/>
    <w:uiPriority w:val="99"/>
    <w:rsid w:val="00470B9D"/>
    <w:rPr>
      <w:rFonts w:ascii="Calibri" w:eastAsia="Calibri" w:hAnsi="Calibri" w:cs="Calibri"/>
    </w:rPr>
  </w:style>
  <w:style w:type="paragraph" w:styleId="Footer">
    <w:name w:val="footer"/>
    <w:basedOn w:val="Normal"/>
    <w:link w:val="FooterChar"/>
    <w:uiPriority w:val="99"/>
    <w:unhideWhenUsed/>
    <w:rsid w:val="00470B9D"/>
    <w:pPr>
      <w:tabs>
        <w:tab w:val="center" w:pos="4680"/>
        <w:tab w:val="right" w:pos="9360"/>
      </w:tabs>
    </w:pPr>
  </w:style>
  <w:style w:type="character" w:customStyle="1" w:styleId="FooterChar">
    <w:name w:val="Footer Char"/>
    <w:basedOn w:val="DefaultParagraphFont"/>
    <w:link w:val="Footer"/>
    <w:uiPriority w:val="99"/>
    <w:rsid w:val="00470B9D"/>
    <w:rPr>
      <w:rFonts w:ascii="Calibri" w:eastAsia="Calibri" w:hAnsi="Calibri" w:cs="Calibri"/>
    </w:rPr>
  </w:style>
  <w:style w:type="paragraph" w:styleId="BalloonText">
    <w:name w:val="Balloon Text"/>
    <w:basedOn w:val="Normal"/>
    <w:link w:val="BalloonTextChar"/>
    <w:uiPriority w:val="99"/>
    <w:semiHidden/>
    <w:unhideWhenUsed/>
    <w:rsid w:val="0016309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3096"/>
    <w:rPr>
      <w:rFonts w:ascii="Segoe UI" w:eastAsia="Calibri" w:hAnsi="Segoe UI" w:cs="Segoe UI"/>
      <w:sz w:val="18"/>
      <w:szCs w:val="18"/>
    </w:rPr>
  </w:style>
  <w:style w:type="table" w:styleId="TableGrid">
    <w:name w:val="Table Grid"/>
    <w:basedOn w:val="TableNormal"/>
    <w:uiPriority w:val="39"/>
    <w:rsid w:val="00312D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F03E714071B6645BE9CBD85815AC1E3" ma:contentTypeVersion="14" ma:contentTypeDescription="Create a new document." ma:contentTypeScope="" ma:versionID="6c59c2fd326f625ce4a6514551bdc90b">
  <xsd:schema xmlns:xsd="http://www.w3.org/2001/XMLSchema" xmlns:xs="http://www.w3.org/2001/XMLSchema" xmlns:p="http://schemas.microsoft.com/office/2006/metadata/properties" xmlns:ns2="dc4739c4-8f5d-4825-a776-458cda2d25fe" xmlns:ns3="cb79eb2e-7191-427d-8759-bfb1737f7759" targetNamespace="http://schemas.microsoft.com/office/2006/metadata/properties" ma:root="true" ma:fieldsID="a10f30b17cd447de6eb91829482f5abd" ns2:_="" ns3:_="">
    <xsd:import namespace="dc4739c4-8f5d-4825-a776-458cda2d25fe"/>
    <xsd:import namespace="cb79eb2e-7191-427d-8759-bfb1737f775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4739c4-8f5d-4825-a776-458cda2d25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6d14c6f0-a0f0-4ee6-aef8-48b713b1534f"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79eb2e-7191-427d-8759-bfb1737f7759"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d44d7321-aeb0-4b60-a039-2def11ad620c}" ma:internalName="TaxCatchAll" ma:showField="CatchAllData" ma:web="cb79eb2e-7191-427d-8759-bfb1737f775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00496E-1D84-4873-8019-F51FDBFA2F70}">
  <ds:schemaRefs>
    <ds:schemaRef ds:uri="http://schemas.openxmlformats.org/officeDocument/2006/bibliography"/>
  </ds:schemaRefs>
</ds:datastoreItem>
</file>

<file path=customXml/itemProps2.xml><?xml version="1.0" encoding="utf-8"?>
<ds:datastoreItem xmlns:ds="http://schemas.openxmlformats.org/officeDocument/2006/customXml" ds:itemID="{54A1E7F2-8F72-4C86-A5E5-40C1CAC1D30B}"/>
</file>

<file path=customXml/itemProps3.xml><?xml version="1.0" encoding="utf-8"?>
<ds:datastoreItem xmlns:ds="http://schemas.openxmlformats.org/officeDocument/2006/customXml" ds:itemID="{DB6D6BA7-2C05-4023-B851-ABDEE7C378AF}"/>
</file>

<file path=docProps/app.xml><?xml version="1.0" encoding="utf-8"?>
<Properties xmlns="http://schemas.openxmlformats.org/officeDocument/2006/extended-properties" xmlns:vt="http://schemas.openxmlformats.org/officeDocument/2006/docPropsVTypes">
  <Template>Normal.dotm</Template>
  <TotalTime>17</TotalTime>
  <Pages>1</Pages>
  <Words>478</Words>
  <Characters>2614</Characters>
  <Application>Microsoft Office Word</Application>
  <DocSecurity>0</DocSecurity>
  <Lines>59</Lines>
  <Paragraphs>47</Paragraphs>
  <ScaleCrop>false</ScaleCrop>
  <HeadingPairs>
    <vt:vector size="2" baseType="variant">
      <vt:variant>
        <vt:lpstr>Title</vt:lpstr>
      </vt:variant>
      <vt:variant>
        <vt:i4>1</vt:i4>
      </vt:variant>
    </vt:vector>
  </HeadingPairs>
  <TitlesOfParts>
    <vt:vector size="1" baseType="lpstr">
      <vt:lpstr>Microsoft Word - Determining Valuations for Building Permits Guideline.docx</vt:lpstr>
    </vt:vector>
  </TitlesOfParts>
  <Company>City of Agoura Hills</Company>
  <LinksUpToDate>false</LinksUpToDate>
  <CharactersWithSpaces>3045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Determining Valuations for Building Permits Guideline.docx</dc:title>
  <dc:subject/>
  <dc:creator>Lukas.quach</dc:creator>
  <cp:keywords/>
  <dc:description/>
  <cp:lastModifiedBy>Lukas Quach</cp:lastModifiedBy>
  <cp:revision>14</cp:revision>
  <cp:lastPrinted>2022-08-01T20:42:00Z</cp:lastPrinted>
  <dcterms:created xsi:type="dcterms:W3CDTF">2022-03-17T15:40:00Z</dcterms:created>
  <dcterms:modified xsi:type="dcterms:W3CDTF">2023-03-06T16:58:00Z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2021-08-26T00:00:00Z</vt:filetime>
  </property>
  <property fmtid="{D5CDD505-2E9C-101B-9397-08002B2CF9AE}" pid="3" name="LastSaved">
    <vt:filetime>2022-03-15T00:00:00Z</vt:filetime>
  </property>
</Properties>
</file>