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A8D4C" w14:textId="77777777" w:rsidR="005A2803" w:rsidRDefault="008317BC" w:rsidP="0096602A">
      <w:r w:rsidRPr="008317BC">
        <w:t xml:space="preserve">Plans submitted for review shall show in detail how the project will conform to the codes, ordinances, and regulations enforced by Building &amp; Safety (CBC Section 107). For most building projects, </w:t>
      </w:r>
      <w:proofErr w:type="gramStart"/>
      <w:r w:rsidRPr="008317BC">
        <w:t>plans shall be prepared by a California-licensed architect or engineer</w:t>
      </w:r>
      <w:proofErr w:type="gramEnd"/>
      <w:r w:rsidRPr="008317BC">
        <w:t>. Examples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6205"/>
      </w:tblGrid>
      <w:tr w:rsidR="008317BC" w14:paraId="2B8D8776" w14:textId="77777777" w:rsidTr="00CD7F63">
        <w:tc>
          <w:tcPr>
            <w:tcW w:w="4405" w:type="dxa"/>
          </w:tcPr>
          <w:p w14:paraId="36497D8E" w14:textId="77777777" w:rsidR="008317BC" w:rsidRPr="00945DF5" w:rsidRDefault="008317BC" w:rsidP="00CD7F63">
            <w:pPr>
              <w:pStyle w:val="ListParagraph"/>
              <w:numPr>
                <w:ilvl w:val="0"/>
                <w:numId w:val="4"/>
              </w:numPr>
            </w:pPr>
            <w:r w:rsidRPr="00945DF5">
              <w:t>New commercial buildings</w:t>
            </w:r>
          </w:p>
        </w:tc>
        <w:tc>
          <w:tcPr>
            <w:tcW w:w="6205" w:type="dxa"/>
          </w:tcPr>
          <w:p w14:paraId="3C628B79" w14:textId="77777777" w:rsidR="008317BC" w:rsidRPr="005C2E89" w:rsidRDefault="008317BC" w:rsidP="00CD7F63">
            <w:pPr>
              <w:pStyle w:val="ListParagraph"/>
              <w:numPr>
                <w:ilvl w:val="0"/>
                <w:numId w:val="5"/>
              </w:numPr>
            </w:pPr>
            <w:r w:rsidRPr="005C2E89">
              <w:t xml:space="preserve">Projects with mixed occupancies </w:t>
            </w:r>
          </w:p>
        </w:tc>
      </w:tr>
      <w:tr w:rsidR="008317BC" w14:paraId="2B64F401" w14:textId="77777777" w:rsidTr="00CD7F63">
        <w:tc>
          <w:tcPr>
            <w:tcW w:w="4405" w:type="dxa"/>
          </w:tcPr>
          <w:p w14:paraId="6F927FEC" w14:textId="77777777" w:rsidR="008317BC" w:rsidRPr="00945DF5" w:rsidRDefault="008317BC" w:rsidP="00CD7F63">
            <w:pPr>
              <w:pStyle w:val="ListParagraph"/>
              <w:numPr>
                <w:ilvl w:val="0"/>
                <w:numId w:val="4"/>
              </w:numPr>
            </w:pPr>
            <w:r w:rsidRPr="00945DF5">
              <w:t>Additions to existing commercial buildings</w:t>
            </w:r>
          </w:p>
        </w:tc>
        <w:tc>
          <w:tcPr>
            <w:tcW w:w="6205" w:type="dxa"/>
          </w:tcPr>
          <w:p w14:paraId="62427A91" w14:textId="77777777" w:rsidR="008317BC" w:rsidRPr="005C2E89" w:rsidRDefault="00CD7F63" w:rsidP="00CD7F63">
            <w:pPr>
              <w:pStyle w:val="ListParagraph"/>
              <w:numPr>
                <w:ilvl w:val="0"/>
                <w:numId w:val="5"/>
              </w:numPr>
            </w:pPr>
            <w:r>
              <w:t>Projects involving</w:t>
            </w:r>
            <w:r w:rsidRPr="005C2E89">
              <w:t xml:space="preserve"> a change of occupancy</w:t>
            </w:r>
          </w:p>
        </w:tc>
      </w:tr>
      <w:tr w:rsidR="008317BC" w14:paraId="03B140AE" w14:textId="77777777" w:rsidTr="00CD7F63">
        <w:tc>
          <w:tcPr>
            <w:tcW w:w="4405" w:type="dxa"/>
          </w:tcPr>
          <w:p w14:paraId="5AF19058" w14:textId="77777777" w:rsidR="008317BC" w:rsidRPr="00945DF5" w:rsidRDefault="008317BC" w:rsidP="00CD7F63">
            <w:pPr>
              <w:pStyle w:val="ListParagraph"/>
              <w:numPr>
                <w:ilvl w:val="0"/>
                <w:numId w:val="4"/>
              </w:numPr>
            </w:pPr>
            <w:r w:rsidRPr="00945DF5">
              <w:t xml:space="preserve">Structural alterations (interior or exterior) </w:t>
            </w:r>
          </w:p>
        </w:tc>
        <w:tc>
          <w:tcPr>
            <w:tcW w:w="6205" w:type="dxa"/>
          </w:tcPr>
          <w:p w14:paraId="003B72D7" w14:textId="77777777" w:rsidR="008317BC" w:rsidRPr="005C2E89" w:rsidRDefault="008317BC" w:rsidP="00CD7F63">
            <w:pPr>
              <w:pStyle w:val="ListParagraph"/>
              <w:numPr>
                <w:ilvl w:val="0"/>
                <w:numId w:val="5"/>
              </w:numPr>
            </w:pPr>
            <w:r w:rsidRPr="005C2E89">
              <w:t>Tanks and vessels</w:t>
            </w:r>
          </w:p>
        </w:tc>
      </w:tr>
      <w:tr w:rsidR="008317BC" w14:paraId="634B442A" w14:textId="77777777" w:rsidTr="00CD7F63">
        <w:tc>
          <w:tcPr>
            <w:tcW w:w="4405" w:type="dxa"/>
          </w:tcPr>
          <w:p w14:paraId="420B0AE2" w14:textId="77777777" w:rsidR="008317BC" w:rsidRPr="00945DF5" w:rsidRDefault="008317BC" w:rsidP="00CD7F63">
            <w:pPr>
              <w:pStyle w:val="ListParagraph"/>
              <w:numPr>
                <w:ilvl w:val="0"/>
                <w:numId w:val="4"/>
              </w:numPr>
            </w:pPr>
            <w:r w:rsidRPr="00945DF5">
              <w:t>Group  A  (assembly) occupancies</w:t>
            </w:r>
          </w:p>
        </w:tc>
        <w:tc>
          <w:tcPr>
            <w:tcW w:w="6205" w:type="dxa"/>
          </w:tcPr>
          <w:p w14:paraId="3CAD66BD" w14:textId="77777777" w:rsidR="008317BC" w:rsidRPr="005C2E89" w:rsidRDefault="00CD7F63" w:rsidP="00CD7F63">
            <w:pPr>
              <w:pStyle w:val="ListParagraph"/>
              <w:numPr>
                <w:ilvl w:val="0"/>
                <w:numId w:val="5"/>
              </w:numPr>
            </w:pPr>
            <w:r w:rsidRPr="005C2E89">
              <w:t>Storage racks exceeding 8 feet in height</w:t>
            </w:r>
          </w:p>
        </w:tc>
      </w:tr>
      <w:tr w:rsidR="008317BC" w14:paraId="6D4DCA41" w14:textId="77777777" w:rsidTr="00CD7F63">
        <w:tc>
          <w:tcPr>
            <w:tcW w:w="4405" w:type="dxa"/>
          </w:tcPr>
          <w:p w14:paraId="5982E17D" w14:textId="77777777" w:rsidR="008317BC" w:rsidRPr="00945DF5" w:rsidRDefault="008317BC" w:rsidP="00CD7F63">
            <w:pPr>
              <w:pStyle w:val="ListParagraph"/>
              <w:numPr>
                <w:ilvl w:val="0"/>
                <w:numId w:val="4"/>
              </w:numPr>
            </w:pPr>
            <w:r w:rsidRPr="00945DF5">
              <w:t>Group E (educational) occupancies</w:t>
            </w:r>
          </w:p>
        </w:tc>
        <w:tc>
          <w:tcPr>
            <w:tcW w:w="6205" w:type="dxa"/>
          </w:tcPr>
          <w:p w14:paraId="0D115746" w14:textId="77777777" w:rsidR="008317BC" w:rsidRPr="005C2E89" w:rsidRDefault="008317BC" w:rsidP="00CD7F63">
            <w:pPr>
              <w:pStyle w:val="ListParagraph"/>
              <w:numPr>
                <w:ilvl w:val="0"/>
                <w:numId w:val="5"/>
              </w:numPr>
            </w:pPr>
            <w:r w:rsidRPr="005C2E89">
              <w:t>Remodeling projects in high-rise buildings (floors over 75</w:t>
            </w:r>
            <w:r w:rsidR="00CD7F63">
              <w:t>’</w:t>
            </w:r>
            <w:r w:rsidRPr="005C2E89">
              <w:t xml:space="preserve"> in height)</w:t>
            </w:r>
          </w:p>
        </w:tc>
        <w:bookmarkStart w:id="0" w:name="_GoBack"/>
        <w:bookmarkEnd w:id="0"/>
      </w:tr>
      <w:tr w:rsidR="008317BC" w14:paraId="67A892AB" w14:textId="77777777" w:rsidTr="00CD7F63">
        <w:tc>
          <w:tcPr>
            <w:tcW w:w="4405" w:type="dxa"/>
          </w:tcPr>
          <w:p w14:paraId="5C5517CC" w14:textId="77777777" w:rsidR="008317BC" w:rsidRPr="00945DF5" w:rsidRDefault="008317BC" w:rsidP="00CD7F63">
            <w:pPr>
              <w:pStyle w:val="ListParagraph"/>
              <w:numPr>
                <w:ilvl w:val="0"/>
                <w:numId w:val="4"/>
              </w:numPr>
            </w:pPr>
            <w:r w:rsidRPr="00945DF5">
              <w:t xml:space="preserve">Group F (factory </w:t>
            </w:r>
            <w:r w:rsidR="00CD7F63">
              <w:t>&amp;</w:t>
            </w:r>
            <w:r w:rsidRPr="00945DF5">
              <w:t xml:space="preserve"> industrial) occupancies </w:t>
            </w:r>
          </w:p>
        </w:tc>
        <w:tc>
          <w:tcPr>
            <w:tcW w:w="6205" w:type="dxa"/>
          </w:tcPr>
          <w:p w14:paraId="477ED46F" w14:textId="77777777" w:rsidR="008317BC" w:rsidRPr="005C2E89" w:rsidRDefault="008317BC" w:rsidP="00CD7F63">
            <w:pPr>
              <w:pStyle w:val="ListParagraph"/>
              <w:numPr>
                <w:ilvl w:val="0"/>
                <w:numId w:val="5"/>
              </w:numPr>
            </w:pPr>
            <w:r w:rsidRPr="005C2E89">
              <w:t>Lateral force resisting systems utilizing poles embedded in the ground</w:t>
            </w:r>
          </w:p>
        </w:tc>
      </w:tr>
      <w:tr w:rsidR="008317BC" w14:paraId="49D7EE81" w14:textId="77777777" w:rsidTr="00CD7F63">
        <w:tc>
          <w:tcPr>
            <w:tcW w:w="4405" w:type="dxa"/>
          </w:tcPr>
          <w:p w14:paraId="490F9CFC" w14:textId="77777777" w:rsidR="008317BC" w:rsidRPr="00945DF5" w:rsidRDefault="008317BC" w:rsidP="00CD7F63">
            <w:pPr>
              <w:pStyle w:val="ListParagraph"/>
              <w:numPr>
                <w:ilvl w:val="0"/>
                <w:numId w:val="4"/>
              </w:numPr>
            </w:pPr>
            <w:r w:rsidRPr="00945DF5">
              <w:t>Group H (hazardous) occupancies</w:t>
            </w:r>
          </w:p>
        </w:tc>
        <w:tc>
          <w:tcPr>
            <w:tcW w:w="6205" w:type="dxa"/>
          </w:tcPr>
          <w:p w14:paraId="77065AD7" w14:textId="77777777" w:rsidR="008317BC" w:rsidRPr="005C2E89" w:rsidRDefault="00CD7F63" w:rsidP="00CD7F63">
            <w:pPr>
              <w:pStyle w:val="ListParagraph"/>
              <w:numPr>
                <w:ilvl w:val="0"/>
                <w:numId w:val="5"/>
              </w:numPr>
            </w:pPr>
            <w:r w:rsidRPr="005C2E89">
              <w:t>Nonstructural components or equipment requiring design per ASCE 7 chapter 13</w:t>
            </w:r>
          </w:p>
        </w:tc>
      </w:tr>
      <w:tr w:rsidR="008317BC" w14:paraId="70877C89" w14:textId="77777777" w:rsidTr="00CD7F63">
        <w:tc>
          <w:tcPr>
            <w:tcW w:w="4405" w:type="dxa"/>
          </w:tcPr>
          <w:p w14:paraId="7BE5A333" w14:textId="77777777" w:rsidR="008317BC" w:rsidRPr="00945DF5" w:rsidRDefault="008317BC" w:rsidP="00CD7F63">
            <w:pPr>
              <w:pStyle w:val="ListParagraph"/>
              <w:numPr>
                <w:ilvl w:val="0"/>
                <w:numId w:val="4"/>
              </w:numPr>
            </w:pPr>
            <w:r w:rsidRPr="00945DF5">
              <w:t>Group I (institutional) occupancies</w:t>
            </w:r>
          </w:p>
        </w:tc>
        <w:tc>
          <w:tcPr>
            <w:tcW w:w="6205" w:type="dxa"/>
          </w:tcPr>
          <w:p w14:paraId="33B2E1A6" w14:textId="77777777" w:rsidR="008317BC" w:rsidRPr="005C2E89" w:rsidRDefault="00CD7F63" w:rsidP="00CD7F63">
            <w:pPr>
              <w:pStyle w:val="ListParagraph"/>
              <w:numPr>
                <w:ilvl w:val="0"/>
                <w:numId w:val="5"/>
              </w:numPr>
            </w:pPr>
            <w:r w:rsidRPr="005C2E89">
              <w:t>Any project not deemed exempt by the Building Official.</w:t>
            </w:r>
          </w:p>
        </w:tc>
      </w:tr>
      <w:tr w:rsidR="008317BC" w14:paraId="3AE2C5AA" w14:textId="77777777" w:rsidTr="00CD7F63">
        <w:tc>
          <w:tcPr>
            <w:tcW w:w="4405" w:type="dxa"/>
          </w:tcPr>
          <w:p w14:paraId="18C18ECE" w14:textId="77777777" w:rsidR="008317BC" w:rsidRPr="00945DF5" w:rsidRDefault="008317BC" w:rsidP="00CD7F63">
            <w:pPr>
              <w:pStyle w:val="ListParagraph"/>
              <w:numPr>
                <w:ilvl w:val="0"/>
                <w:numId w:val="4"/>
              </w:numPr>
            </w:pPr>
            <w:r w:rsidRPr="00945DF5">
              <w:t>Group L (laboratory)</w:t>
            </w:r>
          </w:p>
        </w:tc>
        <w:tc>
          <w:tcPr>
            <w:tcW w:w="6205" w:type="dxa"/>
          </w:tcPr>
          <w:p w14:paraId="54903234" w14:textId="77777777" w:rsidR="008317BC" w:rsidRPr="005C2E89" w:rsidRDefault="008317BC" w:rsidP="008317BC"/>
        </w:tc>
      </w:tr>
      <w:tr w:rsidR="008317BC" w14:paraId="472C74B8" w14:textId="77777777" w:rsidTr="00CD7F63">
        <w:tc>
          <w:tcPr>
            <w:tcW w:w="4405" w:type="dxa"/>
          </w:tcPr>
          <w:p w14:paraId="28C5DD41" w14:textId="77777777" w:rsidR="008317BC" w:rsidRPr="00945DF5" w:rsidRDefault="008317BC" w:rsidP="00CD7F63">
            <w:pPr>
              <w:pStyle w:val="ListParagraph"/>
              <w:numPr>
                <w:ilvl w:val="0"/>
                <w:numId w:val="4"/>
              </w:numPr>
            </w:pPr>
            <w:r w:rsidRPr="00945DF5">
              <w:t>Group R, Division 1, 2, or 4 occupancies</w:t>
            </w:r>
          </w:p>
        </w:tc>
        <w:tc>
          <w:tcPr>
            <w:tcW w:w="6205" w:type="dxa"/>
          </w:tcPr>
          <w:p w14:paraId="49C5DFED" w14:textId="77777777" w:rsidR="008317BC" w:rsidRPr="005C2E89" w:rsidRDefault="008317BC" w:rsidP="008317BC"/>
        </w:tc>
      </w:tr>
    </w:tbl>
    <w:p w14:paraId="0F8686B8" w14:textId="77777777" w:rsidR="008317BC" w:rsidRDefault="008317BC" w:rsidP="008317BC"/>
    <w:p w14:paraId="36EB0C73" w14:textId="1270AB5F" w:rsidR="008317BC" w:rsidRDefault="008317BC" w:rsidP="008317BC">
      <w:r w:rsidRPr="008317BC">
        <w:t xml:space="preserve">Each sheet of plans </w:t>
      </w:r>
      <w:proofErr w:type="gramStart"/>
      <w:r w:rsidRPr="008317BC">
        <w:t>shall be sealed and signed by the architect or engineer that prepared them</w:t>
      </w:r>
      <w:proofErr w:type="gramEnd"/>
      <w:r w:rsidRPr="008317BC">
        <w:t>. The title sheet of calculations, specifications, and reports shall also be sealed and signed.</w:t>
      </w:r>
    </w:p>
    <w:p w14:paraId="076B24CC" w14:textId="069F9484" w:rsidR="00EB0741" w:rsidRPr="008317BC" w:rsidRDefault="00EB0741" w:rsidP="00EB0741">
      <w:pPr>
        <w:ind w:firstLine="360"/>
      </w:pPr>
      <w:r>
        <w:t>Except:</w:t>
      </w:r>
    </w:p>
    <w:p w14:paraId="724955D1" w14:textId="77777777" w:rsidR="008317BC" w:rsidRPr="008317BC" w:rsidRDefault="008317BC" w:rsidP="008317BC">
      <w:pPr>
        <w:pStyle w:val="ListParagraph"/>
        <w:numPr>
          <w:ilvl w:val="0"/>
          <w:numId w:val="3"/>
        </w:numPr>
        <w:tabs>
          <w:tab w:val="left" w:pos="940"/>
        </w:tabs>
        <w:spacing w:before="16" w:line="256" w:lineRule="auto"/>
        <w:ind w:right="1287"/>
        <w:rPr>
          <w:rFonts w:ascii="Times New Roman" w:eastAsia="Times New Roman" w:hAnsi="Times New Roman" w:cs="Times New Roman"/>
        </w:rPr>
      </w:pPr>
      <w:r w:rsidRPr="008317BC">
        <w:rPr>
          <w:rFonts w:ascii="Times New Roman" w:eastAsia="Times New Roman" w:hAnsi="Times New Roman" w:cs="Times New Roman"/>
          <w:w w:val="105"/>
        </w:rPr>
        <w:t>Alterations or improvements that do not change or affect the structural system or safety of the building within Group B (office), Group M (mercantile), Groups S-1/S-2 (storage), or Group U (utility)</w:t>
      </w:r>
      <w:r w:rsidRPr="008317BC">
        <w:rPr>
          <w:rFonts w:ascii="Times New Roman" w:eastAsia="Times New Roman" w:hAnsi="Times New Roman" w:cs="Times New Roman"/>
          <w:spacing w:val="44"/>
          <w:w w:val="105"/>
        </w:rPr>
        <w:t xml:space="preserve"> </w:t>
      </w:r>
      <w:r w:rsidRPr="008317BC">
        <w:rPr>
          <w:rFonts w:ascii="Times New Roman" w:eastAsia="Times New Roman" w:hAnsi="Times New Roman" w:cs="Times New Roman"/>
          <w:w w:val="105"/>
        </w:rPr>
        <w:t>occupancies.</w:t>
      </w:r>
    </w:p>
    <w:p w14:paraId="026E1C0E" w14:textId="77777777" w:rsidR="008317BC" w:rsidRPr="008317BC" w:rsidRDefault="008317BC" w:rsidP="008317BC">
      <w:pPr>
        <w:pStyle w:val="ListParagraph"/>
        <w:numPr>
          <w:ilvl w:val="0"/>
          <w:numId w:val="3"/>
        </w:numPr>
        <w:tabs>
          <w:tab w:val="left" w:pos="940"/>
        </w:tabs>
        <w:spacing w:before="29" w:line="252" w:lineRule="exact"/>
        <w:ind w:right="673"/>
        <w:rPr>
          <w:rFonts w:ascii="Times New Roman" w:eastAsia="Times New Roman" w:hAnsi="Times New Roman" w:cs="Times New Roman"/>
        </w:rPr>
      </w:pPr>
      <w:r w:rsidRPr="008317BC">
        <w:rPr>
          <w:rFonts w:ascii="Times New Roman" w:eastAsia="Times New Roman" w:hAnsi="Times New Roman" w:cs="Times New Roman"/>
          <w:w w:val="110"/>
        </w:rPr>
        <w:t xml:space="preserve">Architectural </w:t>
      </w:r>
      <w:r w:rsidRPr="008317BC">
        <w:rPr>
          <w:rFonts w:ascii="Times New Roman" w:eastAsia="Times New Roman" w:hAnsi="Times New Roman" w:cs="Times New Roman"/>
          <w:spacing w:val="-8"/>
          <w:w w:val="110"/>
        </w:rPr>
        <w:t xml:space="preserve">and </w:t>
      </w:r>
      <w:r w:rsidRPr="008317BC">
        <w:rPr>
          <w:rFonts w:ascii="Times New Roman" w:eastAsia="Times New Roman" w:hAnsi="Times New Roman" w:cs="Times New Roman"/>
          <w:spacing w:val="-10"/>
          <w:w w:val="110"/>
        </w:rPr>
        <w:t xml:space="preserve">construction </w:t>
      </w:r>
      <w:r w:rsidRPr="008317BC">
        <w:rPr>
          <w:rFonts w:ascii="Times New Roman" w:eastAsia="Times New Roman" w:hAnsi="Times New Roman" w:cs="Times New Roman"/>
          <w:w w:val="110"/>
        </w:rPr>
        <w:t xml:space="preserve">plans for Group R-3 residential buildings </w:t>
      </w:r>
      <w:r w:rsidRPr="008317BC">
        <w:rPr>
          <w:rFonts w:ascii="Times New Roman" w:eastAsia="Times New Roman" w:hAnsi="Times New Roman" w:cs="Times New Roman"/>
          <w:spacing w:val="-3"/>
          <w:w w:val="110"/>
        </w:rPr>
        <w:t xml:space="preserve">not </w:t>
      </w:r>
      <w:r w:rsidRPr="008317BC">
        <w:rPr>
          <w:rFonts w:ascii="Times New Roman" w:eastAsia="Times New Roman" w:hAnsi="Times New Roman" w:cs="Times New Roman"/>
          <w:w w:val="110"/>
        </w:rPr>
        <w:t>more than two-story in height, designed in accordance with the prescriptive methods of the CRC Section</w:t>
      </w:r>
      <w:r w:rsidRPr="008317BC">
        <w:rPr>
          <w:rFonts w:ascii="Times New Roman" w:eastAsia="Times New Roman" w:hAnsi="Times New Roman" w:cs="Times New Roman"/>
          <w:spacing w:val="-40"/>
          <w:w w:val="110"/>
        </w:rPr>
        <w:t xml:space="preserve"> </w:t>
      </w:r>
      <w:r w:rsidRPr="008317BC">
        <w:rPr>
          <w:rFonts w:ascii="Times New Roman" w:eastAsia="Times New Roman" w:hAnsi="Times New Roman" w:cs="Times New Roman"/>
          <w:w w:val="110"/>
        </w:rPr>
        <w:t>R301.1.3.2, as amended,</w:t>
      </w:r>
      <w:r w:rsidRPr="008317BC">
        <w:rPr>
          <w:rFonts w:ascii="Times New Roman" w:eastAsia="Times New Roman" w:hAnsi="Times New Roman" w:cs="Times New Roman"/>
          <w:spacing w:val="-13"/>
          <w:w w:val="110"/>
        </w:rPr>
        <w:t xml:space="preserve"> </w:t>
      </w:r>
      <w:r w:rsidRPr="008317BC">
        <w:rPr>
          <w:rFonts w:ascii="Times New Roman" w:eastAsia="Times New Roman" w:hAnsi="Times New Roman" w:cs="Times New Roman"/>
          <w:w w:val="110"/>
        </w:rPr>
        <w:t>or</w:t>
      </w:r>
      <w:r w:rsidRPr="008317BC">
        <w:rPr>
          <w:rFonts w:ascii="Times New Roman" w:eastAsia="Times New Roman" w:hAnsi="Times New Roman" w:cs="Times New Roman"/>
          <w:spacing w:val="-16"/>
          <w:w w:val="110"/>
        </w:rPr>
        <w:t xml:space="preserve"> </w:t>
      </w:r>
      <w:r w:rsidRPr="008317BC">
        <w:rPr>
          <w:rFonts w:ascii="Times New Roman" w:eastAsia="Times New Roman" w:hAnsi="Times New Roman" w:cs="Times New Roman"/>
          <w:w w:val="110"/>
        </w:rPr>
        <w:t>the</w:t>
      </w:r>
      <w:r w:rsidRPr="008317BC">
        <w:rPr>
          <w:rFonts w:ascii="Times New Roman" w:eastAsia="Times New Roman" w:hAnsi="Times New Roman" w:cs="Times New Roman"/>
          <w:spacing w:val="-17"/>
          <w:w w:val="110"/>
        </w:rPr>
        <w:t xml:space="preserve"> </w:t>
      </w:r>
      <w:r w:rsidRPr="008317BC">
        <w:rPr>
          <w:rFonts w:ascii="Times New Roman" w:eastAsia="Times New Roman" w:hAnsi="Times New Roman" w:cs="Times New Roman"/>
          <w:w w:val="110"/>
        </w:rPr>
        <w:t>conventional</w:t>
      </w:r>
      <w:r w:rsidRPr="008317BC">
        <w:rPr>
          <w:rFonts w:ascii="Times New Roman" w:eastAsia="Times New Roman" w:hAnsi="Times New Roman" w:cs="Times New Roman"/>
          <w:spacing w:val="-17"/>
          <w:w w:val="110"/>
        </w:rPr>
        <w:t xml:space="preserve"> </w:t>
      </w:r>
      <w:r w:rsidRPr="008317BC">
        <w:rPr>
          <w:rFonts w:ascii="Times New Roman" w:eastAsia="Times New Roman" w:hAnsi="Times New Roman" w:cs="Times New Roman"/>
          <w:w w:val="110"/>
        </w:rPr>
        <w:t>wood-framed</w:t>
      </w:r>
      <w:r w:rsidRPr="008317BC">
        <w:rPr>
          <w:rFonts w:ascii="Times New Roman" w:eastAsia="Times New Roman" w:hAnsi="Times New Roman" w:cs="Times New Roman"/>
          <w:spacing w:val="-18"/>
          <w:w w:val="110"/>
        </w:rPr>
        <w:t xml:space="preserve"> </w:t>
      </w:r>
      <w:r w:rsidRPr="008317BC">
        <w:rPr>
          <w:rFonts w:ascii="Times New Roman" w:eastAsia="Times New Roman" w:hAnsi="Times New Roman" w:cs="Times New Roman"/>
          <w:w w:val="110"/>
        </w:rPr>
        <w:t>construction</w:t>
      </w:r>
      <w:r w:rsidRPr="008317BC">
        <w:rPr>
          <w:rFonts w:ascii="Times New Roman" w:eastAsia="Times New Roman" w:hAnsi="Times New Roman" w:cs="Times New Roman"/>
          <w:spacing w:val="-17"/>
          <w:w w:val="110"/>
        </w:rPr>
        <w:t xml:space="preserve"> </w:t>
      </w:r>
      <w:r w:rsidRPr="008317BC">
        <w:rPr>
          <w:rFonts w:ascii="Times New Roman" w:eastAsia="Times New Roman" w:hAnsi="Times New Roman" w:cs="Times New Roman"/>
          <w:w w:val="110"/>
        </w:rPr>
        <w:t>provisions</w:t>
      </w:r>
      <w:r w:rsidRPr="008317BC">
        <w:rPr>
          <w:rFonts w:ascii="Times New Roman" w:eastAsia="Times New Roman" w:hAnsi="Times New Roman" w:cs="Times New Roman"/>
          <w:spacing w:val="-15"/>
          <w:w w:val="110"/>
        </w:rPr>
        <w:t xml:space="preserve"> </w:t>
      </w:r>
      <w:r w:rsidRPr="008317BC">
        <w:rPr>
          <w:rFonts w:ascii="Times New Roman" w:eastAsia="Times New Roman" w:hAnsi="Times New Roman" w:cs="Times New Roman"/>
          <w:w w:val="110"/>
        </w:rPr>
        <w:t>of</w:t>
      </w:r>
      <w:r w:rsidRPr="008317BC">
        <w:rPr>
          <w:rFonts w:ascii="Times New Roman" w:eastAsia="Times New Roman" w:hAnsi="Times New Roman" w:cs="Times New Roman"/>
          <w:spacing w:val="-13"/>
          <w:w w:val="110"/>
        </w:rPr>
        <w:t xml:space="preserve"> </w:t>
      </w:r>
      <w:r w:rsidRPr="008317BC">
        <w:rPr>
          <w:rFonts w:ascii="Times New Roman" w:eastAsia="Times New Roman" w:hAnsi="Times New Roman" w:cs="Times New Roman"/>
          <w:w w:val="110"/>
        </w:rPr>
        <w:t>CBC</w:t>
      </w:r>
      <w:r w:rsidRPr="008317BC">
        <w:rPr>
          <w:rFonts w:ascii="Times New Roman" w:eastAsia="Times New Roman" w:hAnsi="Times New Roman" w:cs="Times New Roman"/>
          <w:spacing w:val="-17"/>
          <w:w w:val="110"/>
        </w:rPr>
        <w:t xml:space="preserve"> </w:t>
      </w:r>
      <w:r w:rsidRPr="008317BC">
        <w:rPr>
          <w:rFonts w:ascii="Times New Roman" w:eastAsia="Times New Roman" w:hAnsi="Times New Roman" w:cs="Times New Roman"/>
          <w:spacing w:val="-5"/>
          <w:w w:val="110"/>
        </w:rPr>
        <w:t>Section</w:t>
      </w:r>
      <w:r w:rsidRPr="008317BC">
        <w:rPr>
          <w:rFonts w:ascii="Times New Roman" w:eastAsia="Times New Roman" w:hAnsi="Times New Roman" w:cs="Times New Roman"/>
          <w:spacing w:val="-18"/>
          <w:w w:val="110"/>
        </w:rPr>
        <w:t xml:space="preserve"> </w:t>
      </w:r>
      <w:r w:rsidRPr="008317BC">
        <w:rPr>
          <w:rFonts w:ascii="Times New Roman" w:eastAsia="Times New Roman" w:hAnsi="Times New Roman" w:cs="Times New Roman"/>
          <w:spacing w:val="-5"/>
          <w:w w:val="110"/>
        </w:rPr>
        <w:t>2308.</w:t>
      </w:r>
    </w:p>
    <w:p w14:paraId="5536F291" w14:textId="77777777" w:rsidR="008317BC" w:rsidRDefault="008317BC" w:rsidP="008317BC"/>
    <w:p w14:paraId="38048855" w14:textId="77777777" w:rsidR="008317BC" w:rsidRDefault="008317BC" w:rsidP="008317BC">
      <w:r>
        <w:t>Mechanical, electrical, and plumbing plans shall be prepared by a licensed engineer, or by the licensed contractor who will perform the work. The contractor must possess the specialty license in that specific discipline, and demonstrate the ability to prepare plans to industry design standards.</w:t>
      </w:r>
    </w:p>
    <w:p w14:paraId="20EF05B0" w14:textId="77777777" w:rsidR="008317BC" w:rsidRDefault="008317BC" w:rsidP="008317BC"/>
    <w:p w14:paraId="0CB9FE7E" w14:textId="77777777" w:rsidR="008317BC" w:rsidRDefault="008317BC" w:rsidP="008317BC">
      <w:r>
        <w:t>Fire sprinkler plans for commercial and residential buildings shall be prepared by a licensed fire protection engineer, or by the licensed C-16 contractor who will perform the work.</w:t>
      </w:r>
    </w:p>
    <w:p w14:paraId="5664DB2C" w14:textId="77777777" w:rsidR="008317BC" w:rsidRDefault="008317BC" w:rsidP="008317BC"/>
    <w:p w14:paraId="7639180C" w14:textId="77777777" w:rsidR="008317BC" w:rsidRDefault="008317BC" w:rsidP="008317BC">
      <w:r>
        <w:t xml:space="preserve">The plans shall contain the name and contact information of the person responsible for preparing the plans. The plan </w:t>
      </w:r>
      <w:proofErr w:type="gramStart"/>
      <w:r>
        <w:t>preparer</w:t>
      </w:r>
      <w:proofErr w:type="gramEnd"/>
      <w:r>
        <w:t xml:space="preserve"> shall sign and date the plans.</w:t>
      </w:r>
    </w:p>
    <w:p w14:paraId="075C883D" w14:textId="77777777" w:rsidR="008317BC" w:rsidRDefault="008317BC" w:rsidP="008317BC"/>
    <w:p w14:paraId="03E333A7" w14:textId="77777777" w:rsidR="008317BC" w:rsidRDefault="008317BC" w:rsidP="008317BC">
      <w:r>
        <w:t xml:space="preserve">All persons preparing or being in responsible control of plans, specifications, and instruments of service for others shall sign those plans, specifications, and instruments of service and all contracts (BPC 5536.1). </w:t>
      </w:r>
    </w:p>
    <w:p w14:paraId="3E413694" w14:textId="77777777" w:rsidR="008317BC" w:rsidRDefault="008317BC" w:rsidP="008317BC">
      <w:r>
        <w:t xml:space="preserve"> </w:t>
      </w:r>
    </w:p>
    <w:p w14:paraId="66D7AC59" w14:textId="77777777" w:rsidR="008317BC" w:rsidRPr="0034540B" w:rsidRDefault="008317BC" w:rsidP="008317BC">
      <w:pPr>
        <w:rPr>
          <w:i/>
          <w:sz w:val="20"/>
          <w:szCs w:val="20"/>
        </w:rPr>
      </w:pPr>
      <w:r w:rsidRPr="0034540B">
        <w:rPr>
          <w:i/>
          <w:sz w:val="20"/>
          <w:szCs w:val="20"/>
        </w:rPr>
        <w:t>Code References:</w:t>
      </w:r>
    </w:p>
    <w:p w14:paraId="7AFBB156" w14:textId="77777777" w:rsidR="008317BC" w:rsidRPr="0034540B" w:rsidRDefault="008317BC" w:rsidP="008317BC">
      <w:pPr>
        <w:rPr>
          <w:i/>
          <w:sz w:val="20"/>
          <w:szCs w:val="20"/>
        </w:rPr>
      </w:pPr>
      <w:r w:rsidRPr="0034540B">
        <w:rPr>
          <w:i/>
          <w:sz w:val="20"/>
          <w:szCs w:val="20"/>
        </w:rPr>
        <w:t>California Building Code (CBC)</w:t>
      </w:r>
    </w:p>
    <w:p w14:paraId="24CF3CBC" w14:textId="77777777" w:rsidR="008317BC" w:rsidRPr="0034540B" w:rsidRDefault="008317BC" w:rsidP="008317BC">
      <w:pPr>
        <w:rPr>
          <w:i/>
          <w:sz w:val="20"/>
          <w:szCs w:val="20"/>
        </w:rPr>
      </w:pPr>
      <w:r w:rsidRPr="0034540B">
        <w:rPr>
          <w:i/>
          <w:sz w:val="20"/>
          <w:szCs w:val="20"/>
        </w:rPr>
        <w:t>California Residential Code (CRC)</w:t>
      </w:r>
    </w:p>
    <w:p w14:paraId="3D59C1F4" w14:textId="77777777" w:rsidR="008317BC" w:rsidRDefault="008317BC" w:rsidP="008317BC">
      <w:pPr>
        <w:rPr>
          <w:i/>
          <w:sz w:val="20"/>
          <w:szCs w:val="20"/>
        </w:rPr>
      </w:pPr>
      <w:r w:rsidRPr="0034540B">
        <w:rPr>
          <w:i/>
          <w:sz w:val="20"/>
          <w:szCs w:val="20"/>
        </w:rPr>
        <w:t>Business and Professions Code</w:t>
      </w:r>
      <w:r w:rsidR="00A13A39">
        <w:rPr>
          <w:i/>
          <w:sz w:val="20"/>
          <w:szCs w:val="20"/>
        </w:rPr>
        <w:t xml:space="preserve"> (BPC)</w:t>
      </w:r>
    </w:p>
    <w:p w14:paraId="37727652" w14:textId="77777777" w:rsidR="00A13A39" w:rsidRPr="0034540B" w:rsidRDefault="00A13A39" w:rsidP="008317BC">
      <w:pPr>
        <w:rPr>
          <w:i/>
          <w:sz w:val="20"/>
          <w:szCs w:val="20"/>
        </w:rPr>
      </w:pPr>
      <w:r w:rsidRPr="00A13A39">
        <w:rPr>
          <w:i/>
          <w:sz w:val="20"/>
          <w:szCs w:val="20"/>
        </w:rPr>
        <w:t>Sections 5536, 5537, 5538, 6737, and 6738</w:t>
      </w:r>
    </w:p>
    <w:sectPr w:rsidR="00A13A39" w:rsidRPr="0034540B" w:rsidSect="0034540B">
      <w:headerReference w:type="default" r:id="rId8"/>
      <w:footerReference w:type="default" r:id="rId9"/>
      <w:type w:val="continuous"/>
      <w:pgSz w:w="12240" w:h="15840"/>
      <w:pgMar w:top="420" w:right="640" w:bottom="280" w:left="980" w:header="288"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75B20" w14:textId="77777777" w:rsidR="00470B9D" w:rsidRDefault="00470B9D" w:rsidP="00470B9D">
      <w:r>
        <w:separator/>
      </w:r>
    </w:p>
  </w:endnote>
  <w:endnote w:type="continuationSeparator" w:id="0">
    <w:p w14:paraId="2E8F924C" w14:textId="77777777" w:rsidR="00470B9D" w:rsidRDefault="00470B9D" w:rsidP="0047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019262"/>
      <w:docPartObj>
        <w:docPartGallery w:val="Page Numbers (Bottom of Page)"/>
        <w:docPartUnique/>
      </w:docPartObj>
    </w:sdtPr>
    <w:sdtEndPr>
      <w:rPr>
        <w:noProof/>
      </w:rPr>
    </w:sdtEndPr>
    <w:sdtContent>
      <w:p w14:paraId="478B5D9C" w14:textId="5CA099B1" w:rsidR="00574AD4" w:rsidRDefault="00574AD4">
        <w:pPr>
          <w:pStyle w:val="Footer"/>
          <w:jc w:val="center"/>
        </w:pPr>
        <w:r>
          <w:fldChar w:fldCharType="begin"/>
        </w:r>
        <w:r>
          <w:instrText xml:space="preserve"> PAGE   \* MERGEFORMAT </w:instrText>
        </w:r>
        <w:r>
          <w:fldChar w:fldCharType="separate"/>
        </w:r>
        <w:r w:rsidR="00B30C79">
          <w:rPr>
            <w:noProof/>
          </w:rPr>
          <w:t>1</w:t>
        </w:r>
        <w:r>
          <w:rPr>
            <w:noProof/>
          </w:rPr>
          <w:fldChar w:fldCharType="end"/>
        </w:r>
      </w:p>
    </w:sdtContent>
  </w:sdt>
  <w:p w14:paraId="4892F9D8" w14:textId="77777777" w:rsidR="00574AD4" w:rsidRDefault="00574AD4">
    <w:pPr>
      <w:pStyle w:val="Footer"/>
    </w:pPr>
  </w:p>
  <w:p w14:paraId="4987BAF2" w14:textId="77777777" w:rsidR="005B7A0E" w:rsidRDefault="005B7A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A9D5" w14:textId="77777777" w:rsidR="00470B9D" w:rsidRDefault="00470B9D" w:rsidP="00470B9D">
      <w:r>
        <w:separator/>
      </w:r>
    </w:p>
  </w:footnote>
  <w:footnote w:type="continuationSeparator" w:id="0">
    <w:p w14:paraId="7B4F3B00" w14:textId="77777777" w:rsidR="00470B9D" w:rsidRDefault="00470B9D" w:rsidP="00470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60" w:type="dxa"/>
      <w:tblInd w:w="-465" w:type="dxa"/>
      <w:tblLook w:val="04A0" w:firstRow="1" w:lastRow="0" w:firstColumn="1" w:lastColumn="0" w:noHBand="0" w:noVBand="1"/>
    </w:tblPr>
    <w:tblGrid>
      <w:gridCol w:w="3529"/>
      <w:gridCol w:w="4310"/>
      <w:gridCol w:w="1605"/>
      <w:gridCol w:w="1716"/>
    </w:tblGrid>
    <w:tr w:rsidR="00312D4F" w:rsidRPr="006D7E02" w14:paraId="1D454331" w14:textId="77777777" w:rsidTr="001A1B03">
      <w:trPr>
        <w:trHeight w:val="1296"/>
      </w:trPr>
      <w:tc>
        <w:tcPr>
          <w:tcW w:w="3529" w:type="dxa"/>
          <w:tcBorders>
            <w:top w:val="single" w:sz="12" w:space="0" w:color="auto"/>
            <w:left w:val="single" w:sz="12" w:space="0" w:color="auto"/>
            <w:bottom w:val="single" w:sz="12" w:space="0" w:color="auto"/>
            <w:right w:val="single" w:sz="12" w:space="0" w:color="auto"/>
          </w:tcBorders>
        </w:tcPr>
        <w:p w14:paraId="438F027C" w14:textId="77777777" w:rsidR="00312D4F" w:rsidRPr="006D7E02" w:rsidRDefault="00312D4F" w:rsidP="00470B9D">
          <w:pPr>
            <w:tabs>
              <w:tab w:val="left" w:pos="5160"/>
              <w:tab w:val="center" w:pos="5400"/>
            </w:tabs>
            <w:jc w:val="center"/>
            <w:rPr>
              <w:rFonts w:ascii="Adobe Arabic" w:hAnsi="Adobe Arabic" w:cs="Adobe Arabic"/>
              <w:b/>
              <w:sz w:val="42"/>
              <w:szCs w:val="42"/>
            </w:rPr>
          </w:pPr>
          <w:r w:rsidRPr="006D7E02">
            <w:rPr>
              <w:b/>
              <w:noProof/>
            </w:rPr>
            <w:drawing>
              <wp:anchor distT="0" distB="0" distL="114300" distR="114300" simplePos="0" relativeHeight="251659776" behindDoc="1" locked="0" layoutInCell="1" allowOverlap="1" wp14:anchorId="1989A7CC" wp14:editId="50F70736">
                <wp:simplePos x="0" y="0"/>
                <wp:positionH relativeFrom="column">
                  <wp:posOffset>-69850</wp:posOffset>
                </wp:positionH>
                <wp:positionV relativeFrom="paragraph">
                  <wp:posOffset>-113030</wp:posOffset>
                </wp:positionV>
                <wp:extent cx="2009775" cy="1219200"/>
                <wp:effectExtent l="0" t="0" r="0" b="0"/>
                <wp:wrapNone/>
                <wp:docPr id="3" name="Picture 3"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top w:val="single" w:sz="12" w:space="0" w:color="auto"/>
            <w:left w:val="single" w:sz="12" w:space="0" w:color="auto"/>
            <w:bottom w:val="single" w:sz="12" w:space="0" w:color="auto"/>
            <w:right w:val="single" w:sz="12" w:space="0" w:color="auto"/>
          </w:tcBorders>
          <w:vAlign w:val="center"/>
        </w:tcPr>
        <w:p w14:paraId="605F3A91" w14:textId="77777777" w:rsidR="00683BC1" w:rsidRPr="006D7E02" w:rsidRDefault="00683BC1" w:rsidP="00683BC1">
          <w:pPr>
            <w:tabs>
              <w:tab w:val="left" w:pos="5160"/>
              <w:tab w:val="center" w:pos="5400"/>
            </w:tabs>
            <w:jc w:val="center"/>
            <w:rPr>
              <w:rFonts w:ascii="Adobe Arabic" w:hAnsi="Adobe Arabic" w:cs="Adobe Arabic"/>
              <w:b/>
              <w:sz w:val="42"/>
              <w:szCs w:val="42"/>
            </w:rPr>
          </w:pPr>
          <w:r w:rsidRPr="006D7E02">
            <w:rPr>
              <w:rFonts w:ascii="Adobe Arabic" w:hAnsi="Adobe Arabic" w:cs="Adobe Arabic"/>
              <w:b/>
              <w:sz w:val="42"/>
              <w:szCs w:val="42"/>
            </w:rPr>
            <w:t>CITY OF AGOURA HILLS</w:t>
          </w:r>
        </w:p>
        <w:p w14:paraId="4056BF9E" w14:textId="77777777" w:rsidR="00683BC1" w:rsidRPr="006D7E02" w:rsidRDefault="00683BC1" w:rsidP="00683BC1">
          <w:pPr>
            <w:jc w:val="center"/>
            <w:rPr>
              <w:rFonts w:ascii="Adobe Arabic" w:hAnsi="Adobe Arabic" w:cs="Adobe Arabic"/>
              <w:b/>
              <w:color w:val="000000"/>
              <w:kern w:val="28"/>
              <w:sz w:val="28"/>
              <w:szCs w:val="28"/>
            </w:rPr>
          </w:pPr>
          <w:r w:rsidRPr="006D7E02">
            <w:rPr>
              <w:rFonts w:ascii="Adobe Arabic" w:hAnsi="Adobe Arabic" w:cs="Adobe Arabic"/>
              <w:b/>
              <w:color w:val="000000"/>
              <w:kern w:val="28"/>
              <w:sz w:val="28"/>
              <w:szCs w:val="28"/>
            </w:rPr>
            <w:t xml:space="preserve">BUILDING </w:t>
          </w:r>
          <w:r w:rsidR="00210660">
            <w:rPr>
              <w:rFonts w:ascii="Adobe Arabic" w:hAnsi="Adobe Arabic" w:cs="Adobe Arabic"/>
              <w:b/>
              <w:color w:val="000000"/>
              <w:kern w:val="28"/>
              <w:sz w:val="28"/>
              <w:szCs w:val="28"/>
            </w:rPr>
            <w:t xml:space="preserve">&amp; </w:t>
          </w:r>
          <w:r w:rsidRPr="006D7E02">
            <w:rPr>
              <w:rFonts w:ascii="Adobe Arabic" w:hAnsi="Adobe Arabic" w:cs="Adobe Arabic"/>
              <w:b/>
              <w:color w:val="000000"/>
              <w:kern w:val="28"/>
              <w:sz w:val="28"/>
              <w:szCs w:val="28"/>
            </w:rPr>
            <w:t>SAFETY DIVISION</w:t>
          </w:r>
        </w:p>
        <w:p w14:paraId="5B01DC4D" w14:textId="77777777" w:rsidR="00683BC1" w:rsidRPr="006D7E02" w:rsidRDefault="00BC5EAA" w:rsidP="00683BC1">
          <w:pPr>
            <w:jc w:val="center"/>
            <w:rPr>
              <w:rFonts w:ascii="Adobe Arabic" w:hAnsi="Adobe Arabic" w:cs="Adobe Arabic"/>
              <w:b/>
              <w:color w:val="000000"/>
              <w:kern w:val="28"/>
            </w:rPr>
          </w:pPr>
          <w:r>
            <w:rPr>
              <w:rFonts w:ascii="Adobe Arabic" w:hAnsi="Adobe Arabic" w:cs="Adobe Arabic"/>
              <w:b/>
              <w:color w:val="000000"/>
              <w:kern w:val="28"/>
            </w:rPr>
            <w:t>30001 LADYFACE COURT</w:t>
          </w:r>
        </w:p>
        <w:p w14:paraId="716D4FE2" w14:textId="77777777" w:rsidR="00312D4F" w:rsidRPr="006D7E02" w:rsidRDefault="00683BC1" w:rsidP="00683BC1">
          <w:pPr>
            <w:jc w:val="center"/>
            <w:rPr>
              <w:rFonts w:ascii="Adobe Arabic" w:hAnsi="Adobe Arabic" w:cs="Adobe Arabic"/>
              <w:b/>
              <w:sz w:val="42"/>
              <w:szCs w:val="42"/>
            </w:rPr>
          </w:pPr>
          <w:r w:rsidRPr="006D7E02">
            <w:rPr>
              <w:rFonts w:ascii="Adobe Arabic" w:hAnsi="Adobe Arabic" w:cs="Adobe Arabic"/>
              <w:b/>
              <w:color w:val="000000"/>
              <w:kern w:val="28"/>
            </w:rPr>
            <w:t xml:space="preserve"> AGOURA HILLS, CA 91301</w:t>
          </w:r>
        </w:p>
      </w:tc>
      <w:tc>
        <w:tcPr>
          <w:tcW w:w="3321" w:type="dxa"/>
          <w:gridSpan w:val="2"/>
          <w:tcBorders>
            <w:top w:val="single" w:sz="12" w:space="0" w:color="auto"/>
            <w:left w:val="single" w:sz="12" w:space="0" w:color="auto"/>
            <w:bottom w:val="single" w:sz="12" w:space="0" w:color="auto"/>
            <w:right w:val="single" w:sz="12" w:space="0" w:color="auto"/>
          </w:tcBorders>
          <w:vAlign w:val="center"/>
        </w:tcPr>
        <w:p w14:paraId="099E901C" w14:textId="77777777" w:rsidR="00683BC1" w:rsidRPr="006D7E02" w:rsidRDefault="00683BC1" w:rsidP="00683BC1">
          <w:pPr>
            <w:ind w:right="75"/>
            <w:jc w:val="center"/>
            <w:rPr>
              <w:rFonts w:ascii="Adobe Arabic" w:hAnsi="Adobe Arabic" w:cs="Adobe Arabic"/>
              <w:b/>
            </w:rPr>
          </w:pPr>
        </w:p>
        <w:p w14:paraId="230B3127" w14:textId="77777777" w:rsidR="00683BC1" w:rsidRPr="006D7E02" w:rsidRDefault="00683BC1" w:rsidP="00683BC1">
          <w:pPr>
            <w:ind w:right="75"/>
            <w:jc w:val="center"/>
            <w:rPr>
              <w:rFonts w:ascii="Adobe Arabic" w:hAnsi="Adobe Arabic" w:cs="Adobe Arabic"/>
              <w:b/>
            </w:rPr>
          </w:pPr>
        </w:p>
        <w:p w14:paraId="0F075423" w14:textId="77777777" w:rsidR="00B30C79" w:rsidRPr="006D7E02" w:rsidRDefault="00B30C79" w:rsidP="00B30C79">
          <w:pPr>
            <w:ind w:right="75"/>
            <w:jc w:val="center"/>
            <w:rPr>
              <w:rFonts w:ascii="Adobe Arabic" w:hAnsi="Adobe Arabic" w:cs="Adobe Arabic"/>
              <w:b/>
            </w:rPr>
          </w:pPr>
          <w:r>
            <w:rPr>
              <w:rFonts w:ascii="Adobe Arabic" w:hAnsi="Adobe Arabic" w:cs="Adobe Arabic"/>
              <w:b/>
            </w:rPr>
            <w:t>Email: Permits@</w:t>
          </w:r>
          <w:r w:rsidRPr="006D7E02">
            <w:rPr>
              <w:rFonts w:ascii="Adobe Arabic" w:hAnsi="Adobe Arabic" w:cs="Adobe Arabic"/>
              <w:b/>
            </w:rPr>
            <w:t>AgouraHillsCity.org</w:t>
          </w:r>
        </w:p>
        <w:p w14:paraId="27338CE5" w14:textId="77777777" w:rsidR="00B30C79" w:rsidRPr="006D7E02" w:rsidRDefault="00B30C79" w:rsidP="00B30C79">
          <w:pPr>
            <w:ind w:right="75"/>
            <w:jc w:val="center"/>
            <w:rPr>
              <w:rFonts w:ascii="Adobe Arabic" w:hAnsi="Adobe Arabic" w:cs="Adobe Arabic"/>
              <w:b/>
            </w:rPr>
          </w:pPr>
          <w:r w:rsidRPr="006D7E02">
            <w:rPr>
              <w:rFonts w:ascii="Adobe Arabic" w:hAnsi="Adobe Arabic" w:cs="Adobe Arabic"/>
              <w:b/>
            </w:rPr>
            <w:t>PHONE: (818) 597-7334</w:t>
          </w:r>
        </w:p>
        <w:p w14:paraId="7FB10049" w14:textId="77777777" w:rsidR="00B30C79" w:rsidRPr="006D7E02" w:rsidRDefault="00B30C79" w:rsidP="00B30C79">
          <w:pPr>
            <w:ind w:right="75"/>
            <w:jc w:val="center"/>
            <w:rPr>
              <w:rFonts w:ascii="Adobe Arabic" w:hAnsi="Adobe Arabic" w:cs="Adobe Arabic"/>
              <w:b/>
            </w:rPr>
          </w:pPr>
          <w:r w:rsidRPr="006D7E02">
            <w:rPr>
              <w:rFonts w:ascii="Adobe Arabic" w:hAnsi="Adobe Arabic" w:cs="Adobe Arabic"/>
              <w:b/>
            </w:rPr>
            <w:t>www.AgouraHillsCity.org</w:t>
          </w:r>
        </w:p>
        <w:p w14:paraId="49214AF4" w14:textId="77777777" w:rsidR="00312D4F" w:rsidRPr="006D7E02" w:rsidRDefault="00312D4F" w:rsidP="00B30C79">
          <w:pPr>
            <w:ind w:right="75"/>
            <w:jc w:val="center"/>
            <w:rPr>
              <w:rFonts w:ascii="Adobe Arabic" w:hAnsi="Adobe Arabic" w:cs="Adobe Arabic"/>
              <w:b/>
              <w:sz w:val="28"/>
              <w:szCs w:val="28"/>
            </w:rPr>
          </w:pPr>
        </w:p>
      </w:tc>
    </w:tr>
    <w:tr w:rsidR="00683BC1" w:rsidRPr="006D7E02" w14:paraId="7F40D961" w14:textId="77777777" w:rsidTr="001A1B03">
      <w:tc>
        <w:tcPr>
          <w:tcW w:w="7839" w:type="dxa"/>
          <w:gridSpan w:val="2"/>
          <w:tcBorders>
            <w:left w:val="single" w:sz="12" w:space="0" w:color="auto"/>
            <w:bottom w:val="single" w:sz="12" w:space="0" w:color="auto"/>
            <w:right w:val="single" w:sz="12" w:space="0" w:color="auto"/>
          </w:tcBorders>
        </w:tcPr>
        <w:p w14:paraId="052F77DC" w14:textId="77777777" w:rsidR="00683BC1" w:rsidRPr="006D7E02" w:rsidRDefault="00BB66EB" w:rsidP="00BB66EB">
          <w:pPr>
            <w:pStyle w:val="BodyText"/>
            <w:tabs>
              <w:tab w:val="left" w:pos="2310"/>
            </w:tabs>
            <w:spacing w:before="8"/>
            <w:ind w:left="0"/>
            <w:jc w:val="center"/>
            <w:rPr>
              <w:rFonts w:ascii="Adobe Arabic" w:hAnsi="Adobe Arabic" w:cs="Adobe Arabic"/>
              <w:b/>
              <w:sz w:val="28"/>
              <w:szCs w:val="28"/>
            </w:rPr>
          </w:pPr>
          <w:r>
            <w:rPr>
              <w:rFonts w:ascii="Arial" w:eastAsia="Arial" w:hAnsi="Arial" w:cs="Arial"/>
              <w:b/>
              <w:sz w:val="28"/>
              <w:szCs w:val="28"/>
            </w:rPr>
            <w:t xml:space="preserve">PROJECTS REQUIRING ENG/ARCH STAMP </w:t>
          </w:r>
        </w:p>
      </w:tc>
      <w:tc>
        <w:tcPr>
          <w:tcW w:w="1605" w:type="dxa"/>
          <w:tcBorders>
            <w:top w:val="single" w:sz="12" w:space="0" w:color="auto"/>
            <w:left w:val="single" w:sz="12" w:space="0" w:color="auto"/>
            <w:bottom w:val="single" w:sz="12" w:space="0" w:color="auto"/>
            <w:right w:val="single" w:sz="12" w:space="0" w:color="auto"/>
          </w:tcBorders>
        </w:tcPr>
        <w:p w14:paraId="0915EA39" w14:textId="77777777" w:rsidR="00683BC1" w:rsidRPr="006D7E02" w:rsidRDefault="005058D1" w:rsidP="00470B9D">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OP-04</w:t>
          </w:r>
          <w:r w:rsidR="00683BC1" w:rsidRPr="006D7E02">
            <w:rPr>
              <w:rFonts w:ascii="Adobe Arabic" w:hAnsi="Adobe Arabic" w:cs="Adobe Arabic"/>
              <w:b/>
              <w:sz w:val="32"/>
              <w:szCs w:val="32"/>
            </w:rPr>
            <w:t xml:space="preserve"> </w:t>
          </w:r>
        </w:p>
      </w:tc>
      <w:tc>
        <w:tcPr>
          <w:tcW w:w="1716" w:type="dxa"/>
          <w:tcBorders>
            <w:top w:val="single" w:sz="12" w:space="0" w:color="auto"/>
            <w:left w:val="single" w:sz="12" w:space="0" w:color="auto"/>
            <w:bottom w:val="single" w:sz="12" w:space="0" w:color="auto"/>
            <w:right w:val="single" w:sz="12" w:space="0" w:color="auto"/>
          </w:tcBorders>
        </w:tcPr>
        <w:p w14:paraId="28C74222" w14:textId="1F4A4DB0" w:rsidR="00683BC1" w:rsidRPr="006D7E02" w:rsidRDefault="00B30C79" w:rsidP="00470B9D">
          <w:pPr>
            <w:tabs>
              <w:tab w:val="left" w:pos="5160"/>
              <w:tab w:val="center" w:pos="5400"/>
            </w:tabs>
            <w:jc w:val="center"/>
            <w:rPr>
              <w:rFonts w:ascii="Adobe Arabic" w:hAnsi="Adobe Arabic" w:cs="Adobe Arabic"/>
              <w:b/>
              <w:sz w:val="32"/>
              <w:szCs w:val="32"/>
            </w:rPr>
          </w:pPr>
          <w:r>
            <w:rPr>
              <w:rFonts w:ascii="Adobe Arabic" w:hAnsi="Adobe Arabic" w:cs="Adobe Arabic"/>
              <w:b/>
              <w:sz w:val="32"/>
              <w:szCs w:val="32"/>
            </w:rPr>
            <w:t>3-1-23</w:t>
          </w:r>
        </w:p>
      </w:tc>
    </w:tr>
  </w:tbl>
  <w:p w14:paraId="75E065EE" w14:textId="77777777" w:rsidR="00470B9D" w:rsidRPr="00683BC1" w:rsidRDefault="00470B9D" w:rsidP="00966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49C"/>
    <w:multiLevelType w:val="hybridMultilevel"/>
    <w:tmpl w:val="9BEE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43170"/>
    <w:multiLevelType w:val="hybridMultilevel"/>
    <w:tmpl w:val="B9347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555F8"/>
    <w:multiLevelType w:val="hybridMultilevel"/>
    <w:tmpl w:val="9260E60C"/>
    <w:lvl w:ilvl="0" w:tplc="D9566F1E">
      <w:numFmt w:val="bullet"/>
      <w:lvlText w:val="•"/>
      <w:lvlJc w:val="left"/>
      <w:pPr>
        <w:ind w:left="820" w:hanging="160"/>
      </w:pPr>
      <w:rPr>
        <w:rFonts w:ascii="Calibri" w:eastAsia="Calibri" w:hAnsi="Calibri" w:cs="Calibri" w:hint="default"/>
        <w:w w:val="100"/>
        <w:sz w:val="22"/>
        <w:szCs w:val="22"/>
      </w:rPr>
    </w:lvl>
    <w:lvl w:ilvl="1" w:tplc="5ED6C09C">
      <w:numFmt w:val="bullet"/>
      <w:lvlText w:val="•"/>
      <w:lvlJc w:val="left"/>
      <w:pPr>
        <w:ind w:left="1800" w:hanging="160"/>
      </w:pPr>
      <w:rPr>
        <w:rFonts w:hint="default"/>
      </w:rPr>
    </w:lvl>
    <w:lvl w:ilvl="2" w:tplc="952413AC">
      <w:numFmt w:val="bullet"/>
      <w:lvlText w:val="•"/>
      <w:lvlJc w:val="left"/>
      <w:pPr>
        <w:ind w:left="2780" w:hanging="160"/>
      </w:pPr>
      <w:rPr>
        <w:rFonts w:hint="default"/>
      </w:rPr>
    </w:lvl>
    <w:lvl w:ilvl="3" w:tplc="F89ADC4A">
      <w:numFmt w:val="bullet"/>
      <w:lvlText w:val="•"/>
      <w:lvlJc w:val="left"/>
      <w:pPr>
        <w:ind w:left="3760" w:hanging="160"/>
      </w:pPr>
      <w:rPr>
        <w:rFonts w:hint="default"/>
      </w:rPr>
    </w:lvl>
    <w:lvl w:ilvl="4" w:tplc="80C0C6AA">
      <w:numFmt w:val="bullet"/>
      <w:lvlText w:val="•"/>
      <w:lvlJc w:val="left"/>
      <w:pPr>
        <w:ind w:left="4740" w:hanging="160"/>
      </w:pPr>
      <w:rPr>
        <w:rFonts w:hint="default"/>
      </w:rPr>
    </w:lvl>
    <w:lvl w:ilvl="5" w:tplc="0C1C111C">
      <w:numFmt w:val="bullet"/>
      <w:lvlText w:val="•"/>
      <w:lvlJc w:val="left"/>
      <w:pPr>
        <w:ind w:left="5720" w:hanging="160"/>
      </w:pPr>
      <w:rPr>
        <w:rFonts w:hint="default"/>
      </w:rPr>
    </w:lvl>
    <w:lvl w:ilvl="6" w:tplc="A97C693E">
      <w:numFmt w:val="bullet"/>
      <w:lvlText w:val="•"/>
      <w:lvlJc w:val="left"/>
      <w:pPr>
        <w:ind w:left="6700" w:hanging="160"/>
      </w:pPr>
      <w:rPr>
        <w:rFonts w:hint="default"/>
      </w:rPr>
    </w:lvl>
    <w:lvl w:ilvl="7" w:tplc="D0168B98">
      <w:numFmt w:val="bullet"/>
      <w:lvlText w:val="•"/>
      <w:lvlJc w:val="left"/>
      <w:pPr>
        <w:ind w:left="7680" w:hanging="160"/>
      </w:pPr>
      <w:rPr>
        <w:rFonts w:hint="default"/>
      </w:rPr>
    </w:lvl>
    <w:lvl w:ilvl="8" w:tplc="D9EA6ED2">
      <w:numFmt w:val="bullet"/>
      <w:lvlText w:val="•"/>
      <w:lvlJc w:val="left"/>
      <w:pPr>
        <w:ind w:left="8660" w:hanging="160"/>
      </w:pPr>
      <w:rPr>
        <w:rFonts w:hint="default"/>
      </w:rPr>
    </w:lvl>
  </w:abstractNum>
  <w:abstractNum w:abstractNumId="3" w15:restartNumberingAfterBreak="0">
    <w:nsid w:val="571C272A"/>
    <w:multiLevelType w:val="hybridMultilevel"/>
    <w:tmpl w:val="721E445A"/>
    <w:lvl w:ilvl="0" w:tplc="A3B87D46">
      <w:numFmt w:val="bullet"/>
      <w:lvlText w:val="□"/>
      <w:lvlJc w:val="left"/>
      <w:pPr>
        <w:ind w:left="940" w:hanging="360"/>
      </w:pPr>
      <w:rPr>
        <w:rFonts w:ascii="Times New Roman" w:eastAsia="Times New Roman" w:hAnsi="Times New Roman" w:cs="Times New Roman" w:hint="default"/>
        <w:spacing w:val="12"/>
        <w:w w:val="74"/>
        <w:sz w:val="24"/>
        <w:szCs w:val="24"/>
      </w:rPr>
    </w:lvl>
    <w:lvl w:ilvl="1" w:tplc="67DE15CA">
      <w:numFmt w:val="bullet"/>
      <w:lvlText w:val="•"/>
      <w:lvlJc w:val="left"/>
      <w:pPr>
        <w:ind w:left="1339" w:hanging="360"/>
      </w:pPr>
      <w:rPr>
        <w:rFonts w:hint="default"/>
      </w:rPr>
    </w:lvl>
    <w:lvl w:ilvl="2" w:tplc="69EA9A32">
      <w:numFmt w:val="bullet"/>
      <w:lvlText w:val="•"/>
      <w:lvlJc w:val="left"/>
      <w:pPr>
        <w:ind w:left="1739" w:hanging="360"/>
      </w:pPr>
      <w:rPr>
        <w:rFonts w:hint="default"/>
      </w:rPr>
    </w:lvl>
    <w:lvl w:ilvl="3" w:tplc="0520F5D2">
      <w:numFmt w:val="bullet"/>
      <w:lvlText w:val="•"/>
      <w:lvlJc w:val="left"/>
      <w:pPr>
        <w:ind w:left="2138" w:hanging="360"/>
      </w:pPr>
      <w:rPr>
        <w:rFonts w:hint="default"/>
      </w:rPr>
    </w:lvl>
    <w:lvl w:ilvl="4" w:tplc="2566FC98">
      <w:numFmt w:val="bullet"/>
      <w:lvlText w:val="•"/>
      <w:lvlJc w:val="left"/>
      <w:pPr>
        <w:ind w:left="2538" w:hanging="360"/>
      </w:pPr>
      <w:rPr>
        <w:rFonts w:hint="default"/>
      </w:rPr>
    </w:lvl>
    <w:lvl w:ilvl="5" w:tplc="109EDC84">
      <w:numFmt w:val="bullet"/>
      <w:lvlText w:val="•"/>
      <w:lvlJc w:val="left"/>
      <w:pPr>
        <w:ind w:left="2938" w:hanging="360"/>
      </w:pPr>
      <w:rPr>
        <w:rFonts w:hint="default"/>
      </w:rPr>
    </w:lvl>
    <w:lvl w:ilvl="6" w:tplc="4C1E7218">
      <w:numFmt w:val="bullet"/>
      <w:lvlText w:val="•"/>
      <w:lvlJc w:val="left"/>
      <w:pPr>
        <w:ind w:left="3337" w:hanging="360"/>
      </w:pPr>
      <w:rPr>
        <w:rFonts w:hint="default"/>
      </w:rPr>
    </w:lvl>
    <w:lvl w:ilvl="7" w:tplc="9C9A46C0">
      <w:numFmt w:val="bullet"/>
      <w:lvlText w:val="•"/>
      <w:lvlJc w:val="left"/>
      <w:pPr>
        <w:ind w:left="3737" w:hanging="360"/>
      </w:pPr>
      <w:rPr>
        <w:rFonts w:hint="default"/>
      </w:rPr>
    </w:lvl>
    <w:lvl w:ilvl="8" w:tplc="B7583488">
      <w:numFmt w:val="bullet"/>
      <w:lvlText w:val="•"/>
      <w:lvlJc w:val="left"/>
      <w:pPr>
        <w:ind w:left="4137" w:hanging="360"/>
      </w:pPr>
      <w:rPr>
        <w:rFonts w:hint="default"/>
      </w:rPr>
    </w:lvl>
  </w:abstractNum>
  <w:abstractNum w:abstractNumId="4" w15:restartNumberingAfterBreak="0">
    <w:nsid w:val="72935455"/>
    <w:multiLevelType w:val="hybridMultilevel"/>
    <w:tmpl w:val="F2D0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03"/>
    <w:rsid w:val="000055FD"/>
    <w:rsid w:val="0015566F"/>
    <w:rsid w:val="00163096"/>
    <w:rsid w:val="00193D2D"/>
    <w:rsid w:val="001A1B03"/>
    <w:rsid w:val="00210660"/>
    <w:rsid w:val="00312D4F"/>
    <w:rsid w:val="0034540B"/>
    <w:rsid w:val="00470B9D"/>
    <w:rsid w:val="005058D1"/>
    <w:rsid w:val="00567233"/>
    <w:rsid w:val="00574AD4"/>
    <w:rsid w:val="005A2803"/>
    <w:rsid w:val="005B141F"/>
    <w:rsid w:val="005B7A0E"/>
    <w:rsid w:val="00624F1F"/>
    <w:rsid w:val="00683BC1"/>
    <w:rsid w:val="006D7E02"/>
    <w:rsid w:val="00726C4A"/>
    <w:rsid w:val="008317BC"/>
    <w:rsid w:val="0096602A"/>
    <w:rsid w:val="00A13A39"/>
    <w:rsid w:val="00A61A5C"/>
    <w:rsid w:val="00AE70CB"/>
    <w:rsid w:val="00B30C79"/>
    <w:rsid w:val="00BB3D3A"/>
    <w:rsid w:val="00BB66EB"/>
    <w:rsid w:val="00BC5EAA"/>
    <w:rsid w:val="00CD7F63"/>
    <w:rsid w:val="00CF5241"/>
    <w:rsid w:val="00E906E5"/>
    <w:rsid w:val="00EB0741"/>
    <w:rsid w:val="00EF11F1"/>
    <w:rsid w:val="00EF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74E03F7"/>
  <w15:docId w15:val="{8F0D9596-946F-4EB1-AC68-82E756CF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979" w:hanging="1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B9D"/>
    <w:pPr>
      <w:tabs>
        <w:tab w:val="center" w:pos="4680"/>
        <w:tab w:val="right" w:pos="9360"/>
      </w:tabs>
    </w:pPr>
  </w:style>
  <w:style w:type="character" w:customStyle="1" w:styleId="HeaderChar">
    <w:name w:val="Header Char"/>
    <w:basedOn w:val="DefaultParagraphFont"/>
    <w:link w:val="Header"/>
    <w:uiPriority w:val="99"/>
    <w:rsid w:val="00470B9D"/>
    <w:rPr>
      <w:rFonts w:ascii="Calibri" w:eastAsia="Calibri" w:hAnsi="Calibri" w:cs="Calibri"/>
    </w:rPr>
  </w:style>
  <w:style w:type="paragraph" w:styleId="Footer">
    <w:name w:val="footer"/>
    <w:basedOn w:val="Normal"/>
    <w:link w:val="FooterChar"/>
    <w:uiPriority w:val="99"/>
    <w:unhideWhenUsed/>
    <w:rsid w:val="00470B9D"/>
    <w:pPr>
      <w:tabs>
        <w:tab w:val="center" w:pos="4680"/>
        <w:tab w:val="right" w:pos="9360"/>
      </w:tabs>
    </w:pPr>
  </w:style>
  <w:style w:type="character" w:customStyle="1" w:styleId="FooterChar">
    <w:name w:val="Footer Char"/>
    <w:basedOn w:val="DefaultParagraphFont"/>
    <w:link w:val="Footer"/>
    <w:uiPriority w:val="99"/>
    <w:rsid w:val="00470B9D"/>
    <w:rPr>
      <w:rFonts w:ascii="Calibri" w:eastAsia="Calibri" w:hAnsi="Calibri" w:cs="Calibri"/>
    </w:rPr>
  </w:style>
  <w:style w:type="paragraph" w:styleId="BalloonText">
    <w:name w:val="Balloon Text"/>
    <w:basedOn w:val="Normal"/>
    <w:link w:val="BalloonTextChar"/>
    <w:uiPriority w:val="99"/>
    <w:semiHidden/>
    <w:unhideWhenUsed/>
    <w:rsid w:val="00163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96"/>
    <w:rPr>
      <w:rFonts w:ascii="Segoe UI" w:eastAsia="Calibri" w:hAnsi="Segoe UI" w:cs="Segoe UI"/>
      <w:sz w:val="18"/>
      <w:szCs w:val="18"/>
    </w:rPr>
  </w:style>
  <w:style w:type="table" w:styleId="TableGrid">
    <w:name w:val="Table Grid"/>
    <w:basedOn w:val="TableNormal"/>
    <w:uiPriority w:val="39"/>
    <w:rsid w:val="00312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03E714071B6645BE9CBD85815AC1E3" ma:contentTypeVersion="14" ma:contentTypeDescription="Create a new document." ma:contentTypeScope="" ma:versionID="6c59c2fd326f625ce4a6514551bdc90b">
  <xsd:schema xmlns:xsd="http://www.w3.org/2001/XMLSchema" xmlns:xs="http://www.w3.org/2001/XMLSchema" xmlns:p="http://schemas.microsoft.com/office/2006/metadata/properties" xmlns:ns2="dc4739c4-8f5d-4825-a776-458cda2d25fe" xmlns:ns3="cb79eb2e-7191-427d-8759-bfb1737f7759" targetNamespace="http://schemas.microsoft.com/office/2006/metadata/properties" ma:root="true" ma:fieldsID="a10f30b17cd447de6eb91829482f5abd" ns2:_="" ns3:_="">
    <xsd:import namespace="dc4739c4-8f5d-4825-a776-458cda2d25fe"/>
    <xsd:import namespace="cb79eb2e-7191-427d-8759-bfb1737f77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39c4-8f5d-4825-a776-458cda2d2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14c6f0-a0f0-4ee6-aef8-48b713b1534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eb2e-7191-427d-8759-bfb1737f77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44d7321-aeb0-4b60-a039-2def11ad620c}" ma:internalName="TaxCatchAll" ma:showField="CatchAllData" ma:web="cb79eb2e-7191-427d-8759-bfb1737f77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08110-3713-483A-924B-5827876C993F}">
  <ds:schemaRefs>
    <ds:schemaRef ds:uri="http://schemas.openxmlformats.org/officeDocument/2006/bibliography"/>
  </ds:schemaRefs>
</ds:datastoreItem>
</file>

<file path=customXml/itemProps2.xml><?xml version="1.0" encoding="utf-8"?>
<ds:datastoreItem xmlns:ds="http://schemas.openxmlformats.org/officeDocument/2006/customXml" ds:itemID="{199E5310-DC55-43D2-8665-949D1411C59D}"/>
</file>

<file path=customXml/itemProps3.xml><?xml version="1.0" encoding="utf-8"?>
<ds:datastoreItem xmlns:ds="http://schemas.openxmlformats.org/officeDocument/2006/customXml" ds:itemID="{7EE08218-57AD-4ED0-B7CB-05D195B0CFFD}"/>
</file>

<file path=docProps/app.xml><?xml version="1.0" encoding="utf-8"?>
<Properties xmlns="http://schemas.openxmlformats.org/officeDocument/2006/extended-properties" xmlns:vt="http://schemas.openxmlformats.org/officeDocument/2006/docPropsVTypes">
  <Template>Normal.dotm</Template>
  <TotalTime>33</TotalTime>
  <Pages>1</Pages>
  <Words>429</Words>
  <Characters>2344</Characters>
  <Application>Microsoft Office Word</Application>
  <DocSecurity>0</DocSecurity>
  <Lines>53</Lines>
  <Paragraphs>42</Paragraphs>
  <ScaleCrop>false</ScaleCrop>
  <HeadingPairs>
    <vt:vector size="2" baseType="variant">
      <vt:variant>
        <vt:lpstr>Title</vt:lpstr>
      </vt:variant>
      <vt:variant>
        <vt:i4>1</vt:i4>
      </vt:variant>
    </vt:vector>
  </HeadingPairs>
  <TitlesOfParts>
    <vt:vector size="1" baseType="lpstr">
      <vt:lpstr>Microsoft Word - Determining Valuations for Building Permits Guideline.docx</vt:lpstr>
    </vt:vector>
  </TitlesOfParts>
  <Company>City of Agoura Hills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Determining Valuations for Building Permits Guideline.docx</dc:title>
  <dc:subject/>
  <dc:creator>Lukas.quach</dc:creator>
  <cp:keywords/>
  <dc:description/>
  <cp:lastModifiedBy>Lukas Quach</cp:lastModifiedBy>
  <cp:revision>10</cp:revision>
  <cp:lastPrinted>2022-11-14T22:31:00Z</cp:lastPrinted>
  <dcterms:created xsi:type="dcterms:W3CDTF">2022-04-07T14:41:00Z</dcterms:created>
  <dcterms:modified xsi:type="dcterms:W3CDTF">2023-03-06T16:58:00Z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2022-03-15T00:00:00Z</vt:filetime>
  </property>
</Properties>
</file>